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Interne Risikoampel - MD-Vorschau zur Excel-Datei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Risiko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Eintritt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Auswirkung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Ampel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Massnahme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Nur Dublin eingetragen, Frankfurt nicht sichtbar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Orange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Niederlassung prominent im Dublin-Eintrag beschreiben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Frankfurt separat eingetragen, obwohl unselbstständig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Rot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Zweitentwurf stoppen, RfS-Anfrage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Regelungsvorhaben nicht vor Kontakt erfasst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Rot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Vorhaben vor BMF-Termin eintragen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Finanzaufwendungen doppelt gezählt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Orange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Kostenstelle Dublin/Frankfurt/Berlin konsolidieren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Offenlegung im Erstkontakt uneinheitlich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Orange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einheitliche Sätze an alle Beteiligten schicken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