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Quartalsupload-Log Q2/2026</w:t>
      </w:r>
    </w:p>
    <w:p>
      <w:pPr>
        <w:jc w:val="left"/>
      </w:pPr>
      <w:r>
        <w:rPr>
          <w:b/>
        </w:rPr>
        <w:t>Bearbeitung:</w:t>
      </w:r>
      <w:r>
        <w:t xml:space="preserve"> Lea Sommer, Frederik Holst (Compliance)</w:t>
      </w:r>
    </w:p>
    <w:p>
      <w:pPr>
        <w:jc w:val="left"/>
      </w:pPr>
      <w:r>
        <w:rPr>
          <w:b/>
        </w:rPr>
        <w:t>Stand:</w:t>
      </w:r>
      <w:r>
        <w:t xml:space="preserve"> 26.05.2026, 14:00 Uhr</w:t>
      </w:r>
    </w:p>
    <w:p>
      <w:pPr>
        <w:jc w:val="left"/>
      </w:pPr>
      <w:r>
        <w:rPr>
          <w:b/>
        </w:rPr>
        <w:t>Quartal:</w:t>
      </w:r>
      <w:r>
        <w:t xml:space="preserve"> Q2/2026 (April bis Juni)</w:t>
      </w:r>
    </w:p>
    <w:p>
      <w:pPr>
        <w:jc w:val="left"/>
      </w:pPr>
      <w:r>
        <w:rPr>
          <w:b/>
        </w:rPr>
        <w:t>Frist Hochladen:</w:t>
      </w:r>
      <w:r>
        <w:t xml:space="preserve"> 30.06.2026 (gemäß § 5 Abs. 3 LobbyRG i.V.m. Eintragsmaske)</w:t>
      </w:r>
    </w:p>
    <w:p>
      <w:pPr>
        <w:pStyle w:val="Heading2"/>
      </w:pPr>
      <w:r>
        <w:rPr>
          <w:rFonts w:ascii="Times New Roman" w:hAnsi="Times New Roman"/>
        </w:rPr>
        <w:t>Stellungnahmen im Quartal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Versanddatum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Auftraggeber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Vorhaben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Adressaten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Veröffentlichung im Internet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Uploadstatus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Stellungnahme HansaH2 zur Speicherprivilegierung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HansaH2 Storage AG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Wasserstoffbeschleunigungsgesetz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BMWK, BMF, MdB Reimers, MdB Albrecht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30.06.2026 geplant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Q2-Upload erforderlich; grundlegende Stellungnahme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Stellungnahme Nordsee Elektrolyse zum Netzentgeltprivileg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24.05.2026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Nordsee Elektrolyse Konsortium GbR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Wasserstoffbeschleunigungsgesetz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BMWK Referat III B 2, BMWK Staatssekretariat, MdB Cordova, MdB Karim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30.06.2026 geplant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Q2-Upload erforderlich; grundlegende Stellungnahme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Argumentationspapier OpenGrid Events UG (Einladungsfassung 1)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21.05.2026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(fälschlich "deutsche Wasserstoffindustrie")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n.a.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14 Empfänger Verteiler Fachgespräch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nicht geplant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nicht Q2-Upload, aber Vorfall dokumentieren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falsch versendet; Korrektur Fassung 2 22.05.2026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Klassifikation</w:t>
      </w:r>
    </w:p>
    <w:p>
      <w:pPr>
        <w:pStyle w:val="ListBullet"/>
      </w:pPr>
      <w:r>
        <w:t>Stellungnahme HansaH2 und Stellungnahme Konsortium sind grundlegende Stellungnahmen im Sinne von § 5 Abs. 1 Nr. 5 LobbyRG.</w:t>
      </w:r>
    </w:p>
    <w:p>
      <w:pPr>
        <w:pStyle w:val="ListBullet"/>
      </w:pPr>
      <w:r>
        <w:t>Veröffentlichung erfolgt zweifach (Spreebogen-Internetseite und Auftraggeber-Internetseite).</w:t>
      </w:r>
    </w:p>
    <w:p>
      <w:pPr>
        <w:pStyle w:val="ListBullet"/>
      </w:pPr>
      <w:r>
        <w:t>Die OpenGrid-Einladungsfassung 1 ist keine grundlegende Stellungnahme. Die fehlerhafte Branchenanmassung wird im internen Compliance-Register dokumentiert, nicht im Quartalsupload.</w:t>
      </w:r>
    </w:p>
    <w:p>
      <w:pPr>
        <w:pStyle w:val="Heading2"/>
      </w:pPr>
      <w:r>
        <w:rPr>
          <w:rFonts w:ascii="Times New Roman" w:hAnsi="Times New Roman"/>
        </w:rPr>
        <w:t>Vorgesehene Schritte bis 30.06.2026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HansaH2-Stellungnahme finale Lektorat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Lea Sommer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Freigabe HansaH2 für Veröffentlichung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Christine Luehrs (HansaH2)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Konsortium-Stellungnahme finale Lektorat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Lea Sommer, Tarek Abadi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Freigabe Konsortium für Veröffentlichung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Konsortialbeschluss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Upload beider Stellungnahmen ins Lobbyregister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Frederik Holst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Veröffentlichung beider Stellungnahmen auf Internetseite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Lea Sommer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Mandantenbestaetigung zum Upload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Lea Sommer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Vorläufige Anlagen</w:t>
      </w:r>
    </w:p>
    <w:p>
      <w:pPr>
        <w:pStyle w:val="ListBullet"/>
      </w:pPr>
      <w:r>
        <w:t>Anlage Q2-2026-A: Stellungnahme HansaH2 (PDF, geschwärzte Investitionszahlen)</w:t>
      </w:r>
    </w:p>
    <w:p>
      <w:pPr>
        <w:pStyle w:val="ListBullet"/>
      </w:pPr>
      <w:r>
        <w:t>Anlage Q2-2026-B: Stellungnahme Konsortium (PDF, Standortliste anonymisiert)</w:t>
      </w:r>
    </w:p>
    <w:p>
      <w:pPr>
        <w:pStyle w:val="ListBullet"/>
      </w:pPr>
      <w:r>
        <w:t>Anlage Q2-2026-C: Begleitschreiben Versand 20.05./24.05.2026</w:t>
      </w:r>
    </w:p>
    <w:p>
      <w:pPr>
        <w:pStyle w:val="Heading2"/>
      </w:pPr>
      <w:r>
        <w:rPr>
          <w:rFonts w:ascii="Times New Roman" w:hAnsi="Times New Roman"/>
        </w:rPr>
        <w:t>Wiedervorlagen</w:t>
      </w:r>
    </w:p>
    <w:p>
      <w:pPr>
        <w:pStyle w:val="ListBullet"/>
      </w:pPr>
      <w:r>
        <w:t>15.06.2026, 09:00 Uhr: Halbzeitcheck</w:t>
      </w:r>
    </w:p>
    <w:p>
      <w:pPr>
        <w:pStyle w:val="ListBullet"/>
      </w:pPr>
      <w:r>
        <w:t>25.06.2026, 16:00 Uhr: Finalcheck vor Upload</w:t>
      </w:r>
    </w:p>
    <w:p>
      <w:pPr>
        <w:pStyle w:val="ListBullet"/>
      </w:pPr>
      <w:r>
        <w:t>30.06.2026, 18:00 Uhr: Upload-Bestätigungsabgleich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