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Rückfrage an die Registerstelle – Auftraggeber- und Unterauftrag-Frage</w:t>
      </w:r>
    </w:p>
    <w:p>
      <w:pPr>
        <w:jc w:val="left"/>
      </w:pPr>
      <w:r>
        <w:rPr>
          <w:b/>
        </w:rPr>
        <w:t>Aktenzeichen Kanzlei:</w:t>
      </w:r>
      <w:r>
        <w:t xml:space="preserve"> SBR-LR-2026/Q2-014/RFS-01</w:t>
      </w:r>
    </w:p>
    <w:p>
      <w:pPr>
        <w:jc w:val="left"/>
      </w:pPr>
      <w:r>
        <w:rPr>
          <w:b/>
        </w:rPr>
        <w:t>Bearbeitung:</w:t>
      </w:r>
      <w:r>
        <w:t xml:space="preserve"> RAin Dr. Annegret Beimer</w:t>
      </w:r>
    </w:p>
    <w:p>
      <w:pPr>
        <w:jc w:val="left"/>
      </w:pPr>
      <w:r>
        <w:rPr>
          <w:b/>
        </w:rPr>
        <w:t>Versand:</w:t>
      </w:r>
      <w:r>
        <w:t xml:space="preserve"> 22.05.2026 per E-Mail an &lt;lobbyregister@bundestag.de&gt;</w:t>
      </w:r>
    </w:p>
    <w:p>
      <w:pPr>
        <w:pStyle w:val="Heading2"/>
      </w:pPr>
      <w:r>
        <w:rPr>
          <w:rFonts w:ascii="Times New Roman" w:hAnsi="Times New Roman"/>
        </w:rPr>
        <w:t>Anlass</w:t>
      </w:r>
    </w:p>
    <w:p>
      <w:pPr>
        <w:jc w:val="left"/>
      </w:pPr>
      <w:r>
        <w:t>Die Spreebogen Regulatory GmbH und ihre Compliance-Funktion bitten um Auskunft zu zwei eng zusammenhängenden Fragen, die im Rahmen der laufenden Q2-Aktualisierung des Registers entstanden sind:</w:t>
      </w:r>
    </w:p>
    <w:p>
      <w:pPr>
        <w:pStyle w:val="Heading2"/>
      </w:pPr>
      <w:r>
        <w:rPr>
          <w:rFonts w:ascii="Times New Roman" w:hAnsi="Times New Roman"/>
        </w:rPr>
        <w:t>Frage 1 – Unterauftragnehmer mit teils inhaltlicher Mitwirkung</w:t>
      </w:r>
    </w:p>
    <w:p>
      <w:pPr>
        <w:ind w:left="567"/>
      </w:pPr>
      <w:r>
        <w:rPr>
          <w:i/>
        </w:rPr>
        <w:t>"Wie ist die OpenGrid Events UG einzuordnen, die vertraglich nur Veranstaltungslogistik schuldet (Raum, Catering, Technik, Einladungsmanagement), tatsächlich aber in einzelnen Fällen (a) Stakeholder-Mapping erstellt und (b) Argumentationsbausteine für Einladungstexte geliefert hat, die anschliessend in eine versandte Einladung der Hauptauftragnehmerin Spreebogen Regulatory GmbH eingeflossen sind?"</w:t>
      </w:r>
    </w:p>
    <w:p>
      <w:pPr>
        <w:jc w:val="left"/>
      </w:pPr>
      <w:r>
        <w:t>Antwortvorschlag aus eigener Pruefung:</w:t>
      </w:r>
    </w:p>
    <w:p>
      <w:pPr>
        <w:pStyle w:val="ListBullet"/>
      </w:pPr>
      <w:r>
        <w:t>Die UG ist als Unterauftragnehmer im Sinne des § 1 Abs. 5 LobbyRG zu führen, wenn die inhaltliche Mitwirkung nicht von Spreebogen ausdrücklich rückgängig gemacht wird.</w:t>
      </w:r>
    </w:p>
    <w:p>
      <w:pPr>
        <w:pStyle w:val="ListBullet"/>
      </w:pPr>
      <w:r>
        <w:t>Eine eigene Eintragung der UG ist nicht zwingend, weil die UG nicht "regelmaessig oder auf Dauer angelegt" Interessenvertretung gegenüber dem Bundestag betreibt.</w:t>
      </w:r>
    </w:p>
    <w:p>
      <w:pPr>
        <w:pStyle w:val="Heading2"/>
      </w:pPr>
      <w:r>
        <w:rPr>
          <w:rFonts w:ascii="Times New Roman" w:hAnsi="Times New Roman"/>
        </w:rPr>
        <w:t>Frage 2 – Auftraggebertext bei zwei Mandanten zu demselben Vorhaben</w:t>
      </w:r>
    </w:p>
    <w:p>
      <w:pPr>
        <w:ind w:left="567"/>
      </w:pPr>
      <w:r>
        <w:rPr>
          <w:i/>
        </w:rPr>
        <w:t>"Wenn Spreebogen Regulatory GmbH parallel zwei Mandanten (HansaH2 Storage AG und Nordsee Elektrolyse Konsortium GbR) zu demselben Regelungsvorhaben Wasserstoffbeschleunigungsgesetz vertritt, ist die Auftraggeberangabe im Lobbyregister je Mandant getrennt zu führen, oder als ein gemeinsamer Eintrag, der beide Auftraggeber nennt?"</w:t>
      </w:r>
    </w:p>
    <w:p>
      <w:pPr>
        <w:jc w:val="left"/>
      </w:pPr>
      <w:r>
        <w:t>Antwortvorschlag aus eigener Pruefung:</w:t>
      </w:r>
    </w:p>
    <w:p>
      <w:pPr>
        <w:pStyle w:val="ListBullet"/>
      </w:pPr>
      <w:r>
        <w:t>Beide Mandanten sind getrennt als Auftraggeber in derselben Eintragsmaske aufzuführen, mit jeweils eigener Vorhabens- und Interessenangabe.</w:t>
      </w:r>
    </w:p>
    <w:p>
      <w:pPr>
        <w:pStyle w:val="ListBullet"/>
      </w:pPr>
      <w:r>
        <w:t>Stellungnahmen sind je Mandant separat zu führen und im Quartalsupload getrennt zu kennzeichnen.</w:t>
      </w:r>
    </w:p>
    <w:p>
      <w:pPr>
        <w:pStyle w:val="ListBullet"/>
      </w:pPr>
      <w:r>
        <w:t>Eine pauschale Aussage "für die Wasserstoffwirtschaft" ist nicht zulässig (vgl. Vorgang OpenGrid Fassung 1).</w:t>
      </w:r>
    </w:p>
    <w:p>
      <w:pPr>
        <w:pStyle w:val="Heading2"/>
      </w:pPr>
      <w:r>
        <w:rPr>
          <w:rFonts w:ascii="Times New Roman" w:hAnsi="Times New Roman"/>
        </w:rPr>
        <w:t>Hintergrund</w:t>
      </w:r>
    </w:p>
    <w:p>
      <w:pPr>
        <w:pStyle w:val="ListBullet"/>
      </w:pPr>
      <w:r>
        <w:t xml:space="preserve">Im Mandatsvertrag der HansaH2 Storage AG (§ 5) ist ausdrücklich vereinbart, dass die Mandantin </w:t>
      </w:r>
      <w:r>
        <w:rPr>
          <w:b/>
        </w:rPr>
        <w:t>nicht</w:t>
      </w:r>
      <w:r>
        <w:t xml:space="preserve"> als Branchenrepräsentantin geführt werden darf (vgl. 13_emailauftrag_korrektur_mandant.eml: "Wir vertreten hier nur Speicherinteressen, nicht Elektrolyse, nicht Leitungen, nicht Importterminals.").</w:t>
      </w:r>
    </w:p>
    <w:p>
      <w:pPr>
        <w:pStyle w:val="ListBullet"/>
      </w:pPr>
      <w:r>
        <w:t>Das Nordsee Elektrolyse Konsortium GbR hat zur Eintragsformulierung am 19.05.2026 schriftlich freigegeben.</w:t>
      </w:r>
    </w:p>
    <w:p>
      <w:pPr>
        <w:pStyle w:val="ListBullet"/>
      </w:pPr>
      <w:r>
        <w:t>Eine fehlerhafte Branchenformulierung wurde am 21.05.2026 durch OpenGrid Events UG in einer Einladung verwendet und am 22.05.2026 korrigiert. Spreebogen hat den Vorfall im Compliance-Register vermerkt.</w:t>
      </w:r>
    </w:p>
    <w:p>
      <w:pPr>
        <w:pStyle w:val="Heading2"/>
      </w:pPr>
      <w:r>
        <w:rPr>
          <w:rFonts w:ascii="Times New Roman" w:hAnsi="Times New Roman"/>
        </w:rPr>
        <w:t>Frist</w:t>
      </w:r>
    </w:p>
    <w:p>
      <w:pPr>
        <w:jc w:val="left"/>
      </w:pPr>
      <w:r>
        <w:t>Wir bitten um Antwort bis 02.06.2026, weil die korrigierte Eintragsfassung am 30.05.2026 ins Register eingespielt werden soll und der Q2-Upload bis 30.06.2026 erfolgen muss.</w:t>
      </w:r>
    </w:p>
    <w:p>
      <w:pPr>
        <w:pStyle w:val="Heading2"/>
      </w:pPr>
      <w:r>
        <w:rPr>
          <w:rFonts w:ascii="Times New Roman" w:hAnsi="Times New Roman"/>
        </w:rPr>
        <w:t>Vorbehalt</w:t>
      </w:r>
    </w:p>
    <w:p>
      <w:pPr>
        <w:jc w:val="left"/>
      </w:pPr>
      <w:r>
        <w:t>Die Rückfrage erfolgt auf Initiative von Spreebogen Regulatory GmbH zur Praesizierung interner Compliance. Eine Pflicht zur Anfrage besteht nicht. Antworten der Registerstelle werden als Hinweise verstanden und durch eigene anwaeltliche Pruefung verifiziert.</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