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Finalcheck</w:t>
      </w:r>
    </w:p>
    <w:p>
      <w:pPr>
        <w:jc w:val="left"/>
      </w:pPr>
      <w:r>
        <w:rPr>
          <w:b/>
        </w:rPr>
        <w:t>Stand:</w:t>
      </w:r>
      <w:r>
        <w:t xml:space="preserve"> 26.05.2026, 18:00 Uhr</w:t>
      </w:r>
    </w:p>
    <w:p>
      <w:pPr>
        <w:jc w:val="left"/>
      </w:pPr>
      <w:r>
        <w:rPr>
          <w:b/>
        </w:rPr>
        <w:t>Bearbeitung:</w:t>
      </w:r>
      <w:r>
        <w:t xml:space="preserve"> Frederik Holst, Mara Wendt</w:t>
      </w:r>
    </w:p>
    <w:p>
      <w:pPr>
        <w:jc w:val="left"/>
      </w:pPr>
      <w:r>
        <w:rPr>
          <w:b/>
        </w:rPr>
        <w:t>Nächste Wiedervorlage:</w:t>
      </w:r>
      <w:r>
        <w:t xml:space="preserve"> 30.05.2026 (Einspielen Eintragsfassung) und 30.06.2026 (Q2-Upload)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Nacharbeit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Registrierungspflicht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Schwelle deutlich erreicht (47 dokumentierte Kontakte April/Mai 2026, Gesamtumsatz aus Mandaten 87.500 EUR netto in vier Monaten). Pflichtregistrierung ist beschlossen, Eintragsmaske wird am 28.05.2026 geprüft.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Auftraggebermatrix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Konsortialfreigabe Nordsee Elektrolyse vom 19.05.2026 vorhanden; einzelne Konsortialverträge noch nicht alle nachgeführt. HansaH2 vollständig.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Unterauftragnehmer OpenGrid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ROT/ORANGE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Variante 1 + 2 beschlossen: OpenGrid bleibt Unterauftragnehmer von Spreebogen mit klargestellter Logistikrolle; Mehrleistungen werden im Register dokumentiert. Vertragsergänzung am 25.05.2026 versandt; Bestätigung steht aus.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Stellungnahmen (HansaH2)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Q2-Upload vorbereiten; Veröffentlichung 30.06.2026.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Stellungnahmen (Konsortium)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Q2-Upload vorbereiten; Konsortialfreigabe nachhalten.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Kodex-Offenlegung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Kontakt 12.04.2026 (MdB-Büro Albrecht) hat unklare Offenlegung; Nachhol-E-Mail vom 19.04.2026 vorhanden. Kontakt 12.05.2026 (MdB Reimers) hatte gemischte Erwähnung beider Auftraggeber; im Kontaktlog ergänzt.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Schwellenprüfung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Pflichtregistrierungspflicht steht.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Honorarrückstand Nordsee Elektrolyse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12.500 EUR Aprilrechnung offen; Mahnstand 1 versandt. Beeinflusst Eintragspflicht nicht, aber Liquidität.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Branchenformulierung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GRÜN/ORANGE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Korrigierter Eintragstext gemäß Mandantenwunsch HansaH2 ist abgenommen. OpenGrid-Vorfall Fassung 1 21.05.2026 als Vorfall im Compliance-Register vermerkt.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Compliance-Schulung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Pflichtschulung 31.05.2026 für alle Mitarbeitern; Anwesenheit überprüfen.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Doppelrolle Tarek Abadi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Doppelrolle Auftraggebervertreter + Spreebogen-Berater im Compliance-Register dokumentiert. Pruefung, ob im Eintrag als "betraute Person Spreebogen" oder als "Vertreter Auftraggeber" geführt.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 zur RFS-Anfrage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Anfrage am 22.05.2026 versandt; Antwort spätestens 02.06.2026 erwartet.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Offene rechtliche Fragen</w:t>
      </w:r>
    </w:p>
    <w:p>
      <w:pPr>
        <w:pStyle w:val="ListNumber"/>
      </w:pPr>
      <w:r>
        <w:t>Ist die OpenGrid-Mehrleistung "Stakeholder-Mapping plus Argumentationspapier" so erheblich, dass die UG eine eigene Registereintragung benötigt? Antwort vorläufig nein, weil die UG selbst nicht regelmaessig Interessenvertretung gegenüber dem Bundestag betreibt.</w:t>
      </w:r>
    </w:p>
    <w:p>
      <w:pPr>
        <w:pStyle w:val="ListNumber"/>
      </w:pPr>
      <w:r>
        <w:t>Wie ist die Doppelrolle Tarek Abadi (Konsortialvertreter und Spreebogen-Berater) im Eintrag abzubilden? Antwort vorläufig: nur als Spreebogen-Mitarbeiterr, nicht doppelt; aber im Compliance-Register als Doppelrolle dokumentiert.</w:t>
      </w:r>
    </w:p>
    <w:p>
      <w:pPr>
        <w:pStyle w:val="ListNumber"/>
      </w:pPr>
      <w:r>
        <w:t>Ist eine Stellungnahme, die Versionsdifferenzen enthält (HansaH2-Mail vom 26.05.2026 verlangt Eintragstextkorrektur nach Versand der Stellungnahme), nachträglich aenderungspflichtig?</w:t>
      </w:r>
    </w:p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t>Der Finalcheck steht bei "rot" für Pflichtregistrierung; das ist beabsichtigt, weil die Pflichteintragung jetzt erfolgt. Alle anderen Punkte sind orange und werden bis 30.06.2026 abgearbeitet.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