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Registerdiff alt/neu</w:t>
      </w:r>
    </w:p>
    <w:p>
      <w:pPr>
        <w:jc w:val="left"/>
      </w:pPr>
      <w:r>
        <w:rPr>
          <w:b/>
        </w:rPr>
        <w:t>Bearbeitung:</w:t>
      </w:r>
      <w:r>
        <w:t xml:space="preserve"> Frederik Holst (Compliance Spreebogen), abgestimmt mit Dr. Annegret Beimer</w:t>
      </w:r>
    </w:p>
    <w:p>
      <w:pPr>
        <w:jc w:val="left"/>
      </w:pPr>
      <w:r>
        <w:rPr>
          <w:b/>
        </w:rPr>
        <w:t>Stand:</w:t>
      </w:r>
      <w:r>
        <w:t xml:space="preserve"> 26.05.2026</w:t>
      </w:r>
    </w:p>
    <w:p>
      <w:pPr>
        <w:pStyle w:val="Heading2"/>
      </w:pPr>
      <w:r>
        <w:rPr>
          <w:rFonts w:ascii="Times New Roman" w:hAnsi="Times New Roman"/>
        </w:rPr>
        <w:t>Alte Formulierung (verworfen, Stand 16.05.2026)</w:t>
      </w:r>
    </w:p>
    <w:p>
      <w:pPr>
        <w:ind w:left="567"/>
      </w:pPr>
      <w:r>
        <w:rPr>
          <w:i/>
        </w:rPr>
        <w:t>"Spreebogen Regulatory vertritt die deutsche Wasserstoffwirtschaft bei Gesetzgebungsvorhaben."</w:t>
      </w:r>
    </w:p>
    <w:p>
      <w:pPr>
        <w:jc w:val="left"/>
      </w:pPr>
      <w:r>
        <w:rPr>
          <w:b/>
        </w:rPr>
        <w:t>Begründung der Verwerfung:</w:t>
      </w:r>
    </w:p>
    <w:p>
      <w:pPr>
        <w:pStyle w:val="ListNumber"/>
      </w:pPr>
      <w:r>
        <w:t>Verletzt § 5 des Mandatsvertrags HansaH2 (keine Branchenrepräsentation).</w:t>
      </w:r>
    </w:p>
    <w:p>
      <w:pPr>
        <w:pStyle w:val="ListNumber"/>
      </w:pPr>
      <w:r>
        <w:t>Überspannt die tatsächliche Mandatslage; Spreebogen hat nur zwei Auftraggeber zum WBG.</w:t>
      </w:r>
    </w:p>
    <w:p>
      <w:pPr>
        <w:pStyle w:val="ListNumber"/>
      </w:pPr>
      <w:r>
        <w:t>Verstoesst gegen Anlage 2 LobbyRG (Verhaltenskodex), weil das vertretene Interesse nicht spezifisch beschrieben wird.</w:t>
      </w:r>
    </w:p>
    <w:p>
      <w:pPr>
        <w:pStyle w:val="ListNumber"/>
      </w:pPr>
      <w:r>
        <w:t>Die Verwendung dieser Formulierung in der OpenGrid-Einladung (Fassung 1 vom 21.05.2026) hat einen Compliance-Vorfall ausgelöst.</w:t>
      </w:r>
    </w:p>
    <w:p>
      <w:pPr>
        <w:pStyle w:val="Heading2"/>
      </w:pPr>
      <w:r>
        <w:rPr>
          <w:rFonts w:ascii="Times New Roman" w:hAnsi="Times New Roman"/>
        </w:rPr>
        <w:t>Neue Formulierung (Stand 26.05.2026)</w:t>
      </w:r>
    </w:p>
    <w:p>
      <w:pPr>
        <w:ind w:left="567"/>
      </w:pPr>
      <w:r>
        <w:rPr>
          <w:i/>
        </w:rPr>
        <w:t>"Interessenvertretung im Auftrag einzelner Unternehmen und eines Konsortiums zur gesetzlichen Beschleunigung und regulatorischen Behandlung von Wasserstoffspeichern und Elektrolyseuren im Rahmen des geplanten Wasserstoffbeschleunigungsgesetzes (WBG)."</w:t>
      </w:r>
    </w:p>
    <w:p>
      <w:pPr>
        <w:jc w:val="left"/>
      </w:pPr>
      <w:r>
        <w:rPr>
          <w:b/>
        </w:rPr>
        <w:t>Begründung der neuen Formulierung:</w:t>
      </w:r>
    </w:p>
    <w:p>
      <w:pPr>
        <w:pStyle w:val="ListNumber"/>
      </w:pPr>
      <w:r>
        <w:t>Erfüllt § 5 des Mandatsvertrags HansaH2 (keine Branchenrepräsentation; konkrete Mandantinnen werden im Auftraggeberfeld genannt).</w:t>
      </w:r>
    </w:p>
    <w:p>
      <w:pPr>
        <w:pStyle w:val="ListNumber"/>
      </w:pPr>
      <w:r>
        <w:t>Beschreibt das Vorhaben konkret: "Wasserstoffbeschleunigungsgesetz (WBG)" statt "Wasserstoffwirtschaft allgemein".</w:t>
      </w:r>
    </w:p>
    <w:p>
      <w:pPr>
        <w:pStyle w:val="ListNumber"/>
      </w:pPr>
      <w:r>
        <w:t>Differenziert die Interessen: Speicher (HansaH2) und Elektrolyse (Konsortium).</w:t>
      </w:r>
    </w:p>
    <w:p>
      <w:pPr>
        <w:pStyle w:val="ListNumber"/>
      </w:pPr>
      <w:r>
        <w:t>Vermeidet "Branchenmandat"-Sprache und ist mit der Auftraggeberseite konsistent.</w:t>
      </w:r>
    </w:p>
    <w:p>
      <w:pPr>
        <w:pStyle w:val="Heading2"/>
      </w:pPr>
      <w:r>
        <w:rPr>
          <w:rFonts w:ascii="Times New Roman" w:hAnsi="Times New Roman"/>
        </w:rPr>
        <w:t>Diff im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Neu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taetigkeit.kurzbeschreibung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"Spreebogen Regulatory vertritt die deutsche Wasserstoffwirtschaft bei Gesetzgebungsvorhaben."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"Interessenvertretung im Auftrag einzelner Unternehmen und eines Konsortiums zur gesetzlichen Beschleunigung und regulatorischen Behandlung von Wasserstoffspeichern und Elektrolyseuren im Rahmen des geplanten Wasserstoffbeschleunigungsgesetzes (WBG)."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taetigkeit.ausschluss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"Spreebogen vertritt keine Branchen, keine Verbände und keine Konsortien jenseits der ausdrücklich genannten Auftraggeber. Eine Aussenkommunikation 'im Namen der deutschen Wasserstoffindustrie' ist ausdrücklich ausgeschlossen."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auftraggeber[0].interesse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"Speicherprivilegierung und Planungsbeschleunigung"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"Speicherprivilegierung, Planungsbeschleunigung, Klarstellung Duldungspflichten, Übergangsfristen für bestehende Speicherprojekte"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auftraggeber[1].interesse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"Anschlussprivileg für Elektrolyseure"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"Netzentgeltprivileg für Elektrolyseure mit Volllaststundenrahmen, Flächenzugang an Offshore-Anbindungspunkten, technologieoffene Förderung, Pilotprojekte ohne uneinheitliche Länderpraxis"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unterauftragnehmer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 / nur "prüfen"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OpenGrid Events UG mit Compliance-Hinweis und Vertragsergänzung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Eintrag aus 16.05.2026 ohne Veroeffentlichungs-URL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 vollständige Einträge mit Versanddatum, Quartal und Veroeffentlichungs-URL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Genehmigungsstand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Genehmigungsstelle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HansaH2 Storage AG (Christine Luehrs)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freigegeben mit Änderungen am 26.05.2026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Nordsee Elektrolyse Konsortium GbR (Konsortialbeschluss)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Stern &amp; Partner mbB (Dr. Beimer)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freigegeben mit RFS-Vorbehalt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Spreebogen Geschäftsführung (Mara Wendt)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Einspieltermin</w:t>
      </w:r>
    </w:p>
    <w:p>
      <w:pPr>
        <w:jc w:val="left"/>
      </w:pPr>
      <w:r>
        <w:t>30.05.2026, vor dem Fachgespräch am 12.06.2026 und vor dem Q2-Upload am 30.06.2026.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