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Bescheid UKBW – BK 3101 – Ablehnung vom 28.01.2026</w:t>
      </w:r>
    </w:p>
    <w:p>
      <w:pPr>
        <w:jc w:val="left"/>
      </w:pPr>
      <w:r>
        <w:rPr>
          <w:b/>
        </w:rPr>
        <w:t>[DOKUMENTENTYP: Scan/Kopie des behördlichen Bescheids – in der Kanzleiakte als Anlage verwahrt]</w:t>
      </w:r>
    </w:p>
    <w:p/>
    <w:p>
      <w:pPr>
        <w:pStyle w:val="Heading2"/>
      </w:pPr>
      <w:r>
        <w:rPr>
          <w:rFonts w:ascii="Times New Roman" w:hAnsi="Times New Roman"/>
        </w:rPr>
        <w:t>Behörde</w:t>
      </w:r>
    </w:p>
    <w:p>
      <w:pPr>
        <w:jc w:val="left"/>
      </w:pPr>
      <w:r>
        <w:t>Berufsgenossenschaft für Gesundheitsdienst und Wohlfahrtspflege (BGW)</w:t>
      </w:r>
    </w:p>
    <w:p>
      <w:pPr>
        <w:jc w:val="left"/>
      </w:pPr>
      <w:r>
        <w:t>Hauptverwaltung Hannover</w:t>
      </w:r>
    </w:p>
    <w:p>
      <w:pPr>
        <w:jc w:val="left"/>
      </w:pPr>
      <w:r>
        <w:t>Pappelallee 33/35/37</w:t>
      </w:r>
    </w:p>
    <w:p>
      <w:pPr>
        <w:jc w:val="left"/>
      </w:pPr>
      <w:r>
        <w:t>22089 Hamburg</w:t>
      </w:r>
    </w:p>
    <w:p>
      <w:pPr>
        <w:jc w:val="left"/>
      </w:pPr>
      <w:r>
        <w:rPr>
          <w:i/>
        </w:rPr>
        <w:t>(Sachbearbeitung: Bezirksverwaltung Leipzig)</w:t>
      </w:r>
    </w:p>
    <w:p/>
    <w:p>
      <w:pPr>
        <w:pStyle w:val="Heading2"/>
      </w:pPr>
      <w:r>
        <w:rPr>
          <w:rFonts w:ascii="Times New Roman" w:hAnsi="Times New Roman"/>
        </w:rPr>
        <w:t>Bescheidinformationen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BK 3101 / 261/26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L-2026-0128-BK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Empfängerin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Vivian Feldermann, Bornaische Straße 78, 04277 Leipzig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Zugestellt per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Einschreiben/Rückschein (Zustellnachweis in Akte)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Empfangsdatum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Bearbeiterin BGW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Frau Claudia Reimers, Sachbearbeiterin BK-Ermittlung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Tenor des Bescheids (Zusammenfassung)</w:t>
      </w:r>
    </w:p>
    <w:p>
      <w:pPr>
        <w:jc w:val="left"/>
      </w:pPr>
      <w:r>
        <w:t xml:space="preserve">Der Antrag der Versicherten Vivian Feldermann auf Anerkennung ihrer Erkrankung (Post-Covid-Syndrom mit chronischer Fatigue) als Berufskrankheit gemäß Nr. 3101 der Anlage 1 zur Berufskrankheitenverordnung (BKV) wird </w:t>
      </w:r>
      <w:r>
        <w:rPr>
          <w:b/>
        </w:rPr>
        <w:t>abgelehnt</w:t>
      </w:r>
      <w:r>
        <w:t>.</w:t>
      </w:r>
    </w:p>
    <w:p>
      <w:pPr>
        <w:jc w:val="left"/>
      </w:pPr>
      <w:r>
        <w:t>Es wird festgestellt, dass die Erkrankung der Antragstellerin nicht als Berufskrankheit im Sinne des § 9 Abs. 1 SGB VII in Verbindung mit Nr. 3101 der Anlage 1 BKV anerkannt werden kann.</w:t>
      </w:r>
    </w:p>
    <w:p/>
    <w:p>
      <w:pPr>
        <w:pStyle w:val="Heading2"/>
      </w:pPr>
      <w:r>
        <w:rPr>
          <w:rFonts w:ascii="Times New Roman" w:hAnsi="Times New Roman"/>
        </w:rPr>
        <w:t>Begründung des Bescheids (inhaltliche Zusammenfassung durch Kanzlei)</w:t>
      </w:r>
    </w:p>
    <w:p>
      <w:pPr>
        <w:jc w:val="left"/>
      </w:pPr>
      <w:r>
        <w:t>Die BGW stützt die Ablehnung auf folgende Argumente:</w:t>
      </w:r>
    </w:p>
    <w:p>
      <w:pPr>
        <w:pStyle w:val="Heading3"/>
      </w:pPr>
      <w:r>
        <w:rPr>
          <w:rFonts w:ascii="Times New Roman" w:hAnsi="Times New Roman"/>
        </w:rPr>
        <w:t>Argument 1: Fehlende Kausalität / Expositionsnachweis</w:t>
      </w:r>
    </w:p>
    <w:p>
      <w:pPr>
        <w:jc w:val="left"/>
      </w:pPr>
      <w:r>
        <w:t>Die BGW führt aus, es sei "nach Aktenlage nicht mit hinreichender Wahrscheinlichkeit feststellbar", dass die bei der Antragstellerin diagnostizierte SARS-CoV-2-Infektion ursächlich auf eine besondere berufliche Exposition zurückzuführen sei. Die PCR-Testung am 14.11.2021 beweise lediglich das Vorliegen der Infektion, nicht deren berufliche Verursachung. Die Antragstellerin habe auch Kontakte im privaten Umfeld gehabt, die eine Übertragung möglich machen.</w:t>
      </w:r>
    </w:p>
    <w:p>
      <w:pPr>
        <w:pStyle w:val="Heading3"/>
      </w:pPr>
      <w:r>
        <w:rPr>
          <w:rFonts w:ascii="Times New Roman" w:hAnsi="Times New Roman"/>
        </w:rPr>
        <w:t>Argument 2: Schutzausstattung</w:t>
      </w:r>
    </w:p>
    <w:p>
      <w:pPr>
        <w:jc w:val="left"/>
      </w:pPr>
      <w:r>
        <w:t>Die BGW behauptet, dem Universitätsklinikum Leipzig seien zum fraglichen Zeitpunkt "ausreichende persönliche Schutzausrüstungen (PSA) zur Verfügung gestanden". Als Belege werden interne Bestandslisten des UKL-Einkaufs aus November 2021 angeführt, die jedoch keine Aussage über die tatsächliche Verfügbarkeit auf Stationsebene treffen.</w:t>
      </w:r>
    </w:p>
    <w:p>
      <w:pPr>
        <w:pStyle w:val="Heading3"/>
      </w:pPr>
      <w:r>
        <w:rPr>
          <w:rFonts w:ascii="Times New Roman" w:hAnsi="Times New Roman"/>
        </w:rPr>
        <w:t>Argument 3: Klinisches Bild</w:t>
      </w:r>
    </w:p>
    <w:p>
      <w:pPr>
        <w:jc w:val="left"/>
      </w:pPr>
      <w:r>
        <w:t>Die BGW zweifelt daran, dass das vorliegende Krankheitsbild (ME/CFS, Post-Covid) in einem hinreichend gesicherten ursächlichen Zusammenhang mit der SARS-CoV-2-Infektion steht. Ein "standardisiertes Diagnoseverfahren für Long-Covid" existiere nicht. Dieser Einwand widerspricht dem aktuellen Wissensstand (S3-Leitlinie Post-Covid/Long-Covid, AWMF 2023).</w:t>
      </w:r>
    </w:p>
    <w:p>
      <w:pPr>
        <w:pStyle w:val="Heading3"/>
      </w:pPr>
      <w:r>
        <w:rPr>
          <w:rFonts w:ascii="Times New Roman" w:hAnsi="Times New Roman"/>
        </w:rPr>
        <w:t>Rechtsbehelfsbelehrung (BGW)</w:t>
      </w:r>
    </w:p>
    <w:p>
      <w:pPr>
        <w:ind w:left="567"/>
      </w:pPr>
      <w:r>
        <w:rPr>
          <w:i/>
        </w:rPr>
        <w:t>Gegen diesen Bescheid kann innerhalb eines Monats nach Bekanntgabe schriftlich oder zur Niederschrift bei der Berufsgenossenschaft für Gesundheitsdienst und Wohlfahrtspflege, Bezirksverwaltung Leipzig, Widerspruch eingelegt werden.</w:t>
      </w:r>
    </w:p>
    <w:p/>
    <w:p>
      <w:pPr>
        <w:pStyle w:val="Heading2"/>
      </w:pPr>
      <w:r>
        <w:rPr>
          <w:rFonts w:ascii="Times New Roman" w:hAnsi="Times New Roman"/>
        </w:rPr>
        <w:t>Kanzleiinterne Bewertung</w:t>
      </w:r>
    </w:p>
    <w:p>
      <w:pPr>
        <w:jc w:val="left"/>
      </w:pPr>
      <w:r>
        <w:rPr>
          <w:b/>
        </w:rPr>
        <w:t>Erstellt von:</w:t>
      </w:r>
      <w:r>
        <w:t xml:space="preserve"> RA Sonnemann, 17.02.2026</w:t>
      </w:r>
    </w:p>
    <w:p>
      <w:pPr>
        <w:pStyle w:val="Heading3"/>
      </w:pPr>
      <w:r>
        <w:rPr>
          <w:rFonts w:ascii="Times New Roman" w:hAnsi="Times New Roman"/>
        </w:rPr>
        <w:t>Angreifbare Punkte</w:t>
      </w:r>
    </w:p>
    <w:p>
      <w:pPr>
        <w:pStyle w:val="ListNumber"/>
      </w:pPr>
      <w:r>
        <w:rPr>
          <w:b/>
        </w:rPr>
        <w:t>Expositionsnachweis:</w:t>
      </w:r>
      <w:r>
        <w:t xml:space="preserve"> BGW bewertet Expositionslage unzureichend. PCR-Positivität am 14.11.2021 fiel genau in Einsatzphase auf Covid-Isolierstation. Zeitlicher und räumlicher Zusammenhang ist nachweisbar. Zeugen: Stationsleitung, Betriebsrat UKL (zu befragen).</w:t>
      </w:r>
    </w:p>
    <w:p>
      <w:pPr>
        <w:pStyle w:val="ListNumber"/>
      </w:pPr>
      <w:r>
        <w:rPr>
          <w:b/>
        </w:rPr>
        <w:t>PSA-Bestandslisten:</w:t>
      </w:r>
      <w:r>
        <w:t xml:space="preserve"> Listen des UKL-Einkaufs sagen nichts über Verfügbarkeit am Point of Care aus. Stationsprotokoll und Aussagen von Kolleginnen entscheidend.</w:t>
      </w:r>
    </w:p>
    <w:p>
      <w:pPr>
        <w:pStyle w:val="ListNumber"/>
      </w:pPr>
      <w:r>
        <w:rPr>
          <w:b/>
        </w:rPr>
        <w:t>ME/CFS-Diagnose:</w:t>
      </w:r>
      <w:r>
        <w:t xml:space="preserve"> Die S3-Leitlinie "Post-COVID/Long-COVID" (AWMF-Register 020-027, Stand 12/2023) sowie die WHO-Definition (WHO/2021/SEARO) erkennen Post-Covid als eigenständiges Krankheitsbild nach SARS-CoV-2-Infektion an. Die BGW-Argumentation ist nicht leitlinienkonform.</w:t>
      </w:r>
    </w:p>
    <w:p>
      <w:pPr>
        <w:pStyle w:val="ListNumber"/>
      </w:pPr>
      <w:r>
        <w:rPr>
          <w:b/>
        </w:rPr>
        <w:t>Schutzpflicht des Arbeitgebers (§ 21 SGB VII):</w:t>
      </w:r>
      <w:r>
        <w:t xml:space="preserve"> Das UKL als Arbeitgeber hatte Schutzpflichten; eine nachgewiesene Verletzung würde die BGW-Argumentation zusätzlich schwächen.</w:t>
      </w:r>
    </w:p>
    <w:p>
      <w:pPr>
        <w:pStyle w:val="Heading3"/>
      </w:pPr>
      <w:r>
        <w:rPr>
          <w:rFonts w:ascii="Times New Roman" w:hAnsi="Times New Roman"/>
        </w:rPr>
        <w:t>Rechtliche Grundlagen für Widerspruch</w:t>
      </w:r>
    </w:p>
    <w:p>
      <w:pPr>
        <w:pStyle w:val="ListBullet"/>
      </w:pPr>
      <w:r>
        <w:t>§ 9 Abs. 1 SGB VII i. V. m. Nr. 3101 Anlage 1 BKV</w:t>
      </w:r>
    </w:p>
    <w:p>
      <w:pPr>
        <w:pStyle w:val="ListBullet"/>
      </w:pPr>
      <w:r>
        <w:t>§ 56 SGB VII (Verletztenrente)</w:t>
      </w:r>
    </w:p>
    <w:p>
      <w:pPr>
        <w:pStyle w:val="ListBullet"/>
      </w:pPr>
      <w:r>
        <w:t>BSG, Urt. v. 27.06.2006 – B 2 U 13/05 R (Vollbeweis Erkrankung, hinreichende Wahrscheinlichkeit Kausalität)</w:t>
      </w:r>
    </w:p>
    <w:p>
      <w:pPr>
        <w:pStyle w:val="ListBullet"/>
      </w:pPr>
      <w:r>
        <w:t>S3-Leitlinie Long-COVID/Post-COVID (AWMF 020-027, 2023)</w:t>
      </w:r>
    </w:p>
    <w:p>
      <w:pPr>
        <w:pStyle w:val="ListBullet"/>
      </w:pPr>
      <w:r>
        <w:t>Grundsätze der BK-Ermittlung nach § 4 BKV</w:t>
      </w:r>
    </w:p>
    <w:p>
      <w:pPr>
        <w:pStyle w:val="Heading3"/>
      </w:pPr>
      <w:r>
        <w:rPr>
          <w:rFonts w:ascii="Times New Roman" w:hAnsi="Times New Roman"/>
        </w:rPr>
        <w:t>Fristen</w:t>
      </w:r>
    </w:p>
    <w:p>
      <w:pPr>
        <w:pStyle w:val="ListBullet"/>
      </w:pPr>
      <w:r>
        <w:t xml:space="preserve">Widerspruchsfrist: 1 Monat ab Bekanntgabe = </w:t>
      </w:r>
      <w:r>
        <w:rPr>
          <w:b/>
        </w:rPr>
        <w:t>28.02.2026</w:t>
      </w:r>
      <w:r>
        <w:t xml:space="preserve"> (Sonntag → 02.03.2026)</w:t>
      </w:r>
    </w:p>
    <w:p>
      <w:pPr>
        <w:pStyle w:val="ListBullet"/>
      </w:pPr>
      <w:r>
        <w:t xml:space="preserve">Praktisch: Widerspruch bis </w:t>
      </w:r>
      <w:r>
        <w:rPr>
          <w:b/>
        </w:rPr>
        <w:t>27.02.2026</w:t>
      </w:r>
      <w:r>
        <w:t xml:space="preserve"> einlegen</w:t>
      </w:r>
    </w:p>
    <w:p/>
    <w:p>
      <w:pPr>
        <w:jc w:val="left"/>
      </w:pPr>
      <w:r>
        <w:rPr>
          <w:i/>
        </w:rPr>
        <w:t>Angelegt: RA Sonnemann, 17.02.2026</w:t>
      </w:r>
    </w:p>
    <w:p>
      <w:pPr>
        <w:jc w:val="left"/>
      </w:pPr>
      <w:r>
        <w:rPr>
          <w:i/>
        </w:rPr>
        <w:t>Anlage: Originalbescheid (Scan), Zustellnachweis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