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DRV Mitteldeutschland – Ablehnung Erwerbsminderungsrente – 14.02.2026</w:t>
      </w:r>
    </w:p>
    <w:p>
      <w:pPr>
        <w:jc w:val="left"/>
      </w:pPr>
      <w:r>
        <w:rPr>
          <w:b/>
        </w:rPr>
        <w:t>[DOKUMENTENTYP: Scan/Kopie des behördlichen Bescheids – Anlage in Kanzleiakte]</w:t>
      </w:r>
    </w:p>
    <w:p/>
    <w:p>
      <w:pPr>
        <w:pStyle w:val="Heading2"/>
      </w:pPr>
      <w:r>
        <w:rPr>
          <w:rFonts w:ascii="Times New Roman" w:hAnsi="Times New Roman"/>
        </w:rPr>
        <w:t>Behörde</w:t>
      </w:r>
    </w:p>
    <w:p>
      <w:pPr>
        <w:jc w:val="left"/>
      </w:pPr>
      <w:r>
        <w:t>Deutsche Rentenversicherung Mitteldeutschland</w:t>
      </w:r>
    </w:p>
    <w:p>
      <w:pPr>
        <w:jc w:val="left"/>
      </w:pPr>
      <w:r>
        <w:t>Georg-Schumann-Straße 146</w:t>
      </w:r>
    </w:p>
    <w:p>
      <w:pPr>
        <w:jc w:val="left"/>
      </w:pPr>
      <w:r>
        <w:t>04155 Leipzig</w:t>
      </w:r>
    </w:p>
    <w:p>
      <w:pPr>
        <w:jc w:val="left"/>
      </w:pPr>
      <w:r>
        <w:t>Servicetelefon: 0800 / 10 00 48 00</w:t>
      </w:r>
    </w:p>
    <w:p/>
    <w:p>
      <w:pPr>
        <w:pStyle w:val="Heading2"/>
      </w:pPr>
      <w:r>
        <w:rPr>
          <w:rFonts w:ascii="Times New Roman" w:hAnsi="Times New Roman"/>
        </w:rPr>
        <w:t>Bescheidinformationen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Angabe</w:t>
            </w:r>
          </w:p>
        </w:tc>
      </w:tr>
      <w:tr>
        <w:tc>
          <w:tcPr>
            <w:tcW w:type="dxa" w:w="4536"/>
          </w:tcPr>
          <w:p>
            <w:r>
              <w:rPr>
                <w:rFonts w:ascii="Times New Roman" w:hAnsi="Times New Roman"/>
                <w:sz w:val="20"/>
              </w:rPr>
              <w:t>Versicherungsnummer</w:t>
            </w:r>
          </w:p>
        </w:tc>
        <w:tc>
          <w:tcPr>
            <w:tcW w:type="dxa" w:w="4536"/>
          </w:tcPr>
          <w:p>
            <w:r>
              <w:rPr>
                <w:rFonts w:ascii="Times New Roman" w:hAnsi="Times New Roman"/>
                <w:sz w:val="20"/>
              </w:rPr>
              <w:t>41 060379 V 084</w:t>
            </w:r>
          </w:p>
        </w:tc>
      </w:tr>
      <w:tr>
        <w:tc>
          <w:tcPr>
            <w:tcW w:type="dxa" w:w="4536"/>
          </w:tcPr>
          <w:p>
            <w:r>
              <w:rPr>
                <w:rFonts w:ascii="Times New Roman" w:hAnsi="Times New Roman"/>
                <w:sz w:val="20"/>
              </w:rPr>
              <w:t>Aktenzeichen</w:t>
            </w:r>
          </w:p>
        </w:tc>
        <w:tc>
          <w:tcPr>
            <w:tcW w:type="dxa" w:w="4536"/>
          </w:tcPr>
          <w:p>
            <w:r>
              <w:rPr>
                <w:rFonts w:ascii="Times New Roman" w:hAnsi="Times New Roman"/>
                <w:sz w:val="20"/>
              </w:rPr>
              <w:t>xx 060379 41 W 077</w:t>
            </w:r>
          </w:p>
        </w:tc>
      </w:tr>
      <w:tr>
        <w:tc>
          <w:tcPr>
            <w:tcW w:type="dxa" w:w="4536"/>
          </w:tcPr>
          <w:p>
            <w:r>
              <w:rPr>
                <w:rFonts w:ascii="Times New Roman" w:hAnsi="Times New Roman"/>
                <w:sz w:val="20"/>
              </w:rPr>
              <w:t>Bescheid vom</w:t>
            </w:r>
          </w:p>
        </w:tc>
        <w:tc>
          <w:tcPr>
            <w:tcW w:type="dxa" w:w="4536"/>
          </w:tcPr>
          <w:p>
            <w:r>
              <w:rPr>
                <w:rFonts w:ascii="Times New Roman" w:hAnsi="Times New Roman"/>
                <w:sz w:val="20"/>
              </w:rPr>
              <w:t>14.02.2026</w:t>
            </w:r>
          </w:p>
        </w:tc>
      </w:tr>
      <w:tr>
        <w:tc>
          <w:tcPr>
            <w:tcW w:type="dxa" w:w="4536"/>
          </w:tcPr>
          <w:p>
            <w:r>
              <w:rPr>
                <w:rFonts w:ascii="Times New Roman" w:hAnsi="Times New Roman"/>
                <w:sz w:val="20"/>
              </w:rPr>
              <w:t>Adressat</w:t>
            </w:r>
          </w:p>
        </w:tc>
        <w:tc>
          <w:tcPr>
            <w:tcW w:type="dxa" w:w="4536"/>
          </w:tcPr>
          <w:p>
            <w:r>
              <w:rPr>
                <w:rFonts w:ascii="Times New Roman" w:hAnsi="Times New Roman"/>
                <w:sz w:val="20"/>
              </w:rPr>
              <w:t>Vivian Feldermann, Bornaische Straße 78, 04277 Leipzig</w:t>
            </w:r>
          </w:p>
        </w:tc>
      </w:tr>
      <w:tr>
        <w:tc>
          <w:tcPr>
            <w:tcW w:type="dxa" w:w="4536"/>
          </w:tcPr>
          <w:p>
            <w:r>
              <w:rPr>
                <w:rFonts w:ascii="Times New Roman" w:hAnsi="Times New Roman"/>
                <w:sz w:val="20"/>
              </w:rPr>
              <w:t>Sachbearbeiter DRV</w:t>
            </w:r>
          </w:p>
        </w:tc>
        <w:tc>
          <w:tcPr>
            <w:tcW w:type="dxa" w:w="4536"/>
          </w:tcPr>
          <w:p>
            <w:r>
              <w:rPr>
                <w:rFonts w:ascii="Times New Roman" w:hAnsi="Times New Roman"/>
                <w:sz w:val="20"/>
              </w:rPr>
              <w:t>Herr Thomas Vogel, Abteilung Rente wegen Erwerbsminderung</w:t>
            </w:r>
          </w:p>
        </w:tc>
      </w:tr>
      <w:tr>
        <w:tc>
          <w:tcPr>
            <w:tcW w:type="dxa" w:w="4536"/>
          </w:tcPr>
          <w:p>
            <w:r>
              <w:rPr>
                <w:rFonts w:ascii="Times New Roman" w:hAnsi="Times New Roman"/>
                <w:sz w:val="20"/>
              </w:rPr>
              <w:t>Betreff</w:t>
            </w:r>
          </w:p>
        </w:tc>
        <w:tc>
          <w:tcPr>
            <w:tcW w:type="dxa" w:w="4536"/>
          </w:tcPr>
          <w:p>
            <w:r>
              <w:rPr>
                <w:rFonts w:ascii="Times New Roman" w:hAnsi="Times New Roman"/>
                <w:sz w:val="20"/>
              </w:rPr>
              <w:t>Ablehnung Rente wegen Erwerbsminderung</w:t>
            </w:r>
          </w:p>
        </w:tc>
      </w:tr>
    </w:tbl>
    <w:p/>
    <w:p>
      <w:pPr>
        <w:pStyle w:val="Heading2"/>
      </w:pPr>
      <w:r>
        <w:rPr>
          <w:rFonts w:ascii="Times New Roman" w:hAnsi="Times New Roman"/>
        </w:rPr>
        <w:t>Tenor (Zusammenfassung durch Kanzlei)</w:t>
      </w:r>
    </w:p>
    <w:p>
      <w:pPr>
        <w:jc w:val="left"/>
      </w:pPr>
      <w:r>
        <w:t xml:space="preserve">Der Antrag der Versicherten Vivian Feldermann auf Gewährung einer Rente wegen Erwerbsminderung gemäß § 43 SGB VI wird </w:t>
      </w:r>
      <w:r>
        <w:rPr>
          <w:b/>
        </w:rPr>
        <w:t>abgelehnt</w:t>
      </w:r>
      <w:r>
        <w:t>.</w:t>
      </w:r>
    </w:p>
    <w:p>
      <w:pPr>
        <w:jc w:val="left"/>
      </w:pPr>
      <w:r>
        <w:t>Nach dem Ergebnis der medizinischen Prüfung könne die Antragstellerin noch mindestens sechs Stunden täglich unter den üblichen Bedingungen des allgemeinen Arbeitsmarktes erwerbstätig sein. Die Voraussetzungen für eine volle oder teilweise Erwerbsminderungsrente gemäß § 43 Abs. 1 und 2 SGB VI seien daher nicht erfüllt.</w:t>
      </w:r>
    </w:p>
    <w:p/>
    <w:p>
      <w:pPr>
        <w:pStyle w:val="Heading2"/>
      </w:pPr>
      <w:r>
        <w:rPr>
          <w:rFonts w:ascii="Times New Roman" w:hAnsi="Times New Roman"/>
        </w:rPr>
        <w:t>Begründung im Bescheid (Zusammenfassung durch Kanzlei)</w:t>
      </w:r>
    </w:p>
    <w:p>
      <w:pPr>
        <w:pStyle w:val="Heading3"/>
      </w:pPr>
      <w:r>
        <w:rPr>
          <w:rFonts w:ascii="Times New Roman" w:hAnsi="Times New Roman"/>
        </w:rPr>
        <w:t>Medizinische Grundlagen der DRV-Entscheidung</w:t>
      </w:r>
    </w:p>
    <w:p>
      <w:pPr>
        <w:jc w:val="left"/>
      </w:pPr>
      <w:r>
        <w:t xml:space="preserve">Die DRV stützt ihre Entscheidung maßgeblich auf das </w:t>
      </w:r>
      <w:r>
        <w:rPr>
          <w:b/>
        </w:rPr>
        <w:t>Gutachten des Dr. med. Volker Härtung</w:t>
      </w:r>
      <w:r>
        <w:t>, Facharzt für Arbeitsmedizin und Sozialmedizin, erstellt im Auftrag der DRV im November 2025 (Leipzig).</w:t>
      </w:r>
    </w:p>
    <w:p>
      <w:pPr>
        <w:jc w:val="left"/>
      </w:pPr>
      <w:r>
        <w:t>Dr. Härtung kommt in seinem Gutachten zu folgenden Feststellungen:</w:t>
      </w:r>
    </w:p>
    <w:p>
      <w:pPr>
        <w:pStyle w:val="ListBullet"/>
      </w:pPr>
      <w:r>
        <w:t xml:space="preserve">Hauptdiagnose: </w:t>
      </w:r>
      <w:r>
        <w:rPr>
          <w:b/>
        </w:rPr>
        <w:t>Anpassungsstörung (F43.2)</w:t>
      </w:r>
      <w:r>
        <w:t xml:space="preserve"> — qualitativ leichtgradige psychische Beeinträchtigung</w:t>
      </w:r>
    </w:p>
    <w:p>
      <w:pPr>
        <w:pStyle w:val="ListBullet"/>
      </w:pPr>
      <w:r>
        <w:t>Nebendiagnosen: unspezifische Fatigue (R53), funktionelle Körperbeschwerden</w:t>
      </w:r>
    </w:p>
    <w:p>
      <w:pPr>
        <w:pStyle w:val="ListBullet"/>
      </w:pPr>
      <w:r>
        <w:t>Die von der Charité gestellte ME/CFS-Diagnose wird als "nicht valide gesichert" abgelehnt</w:t>
      </w:r>
    </w:p>
    <w:p>
      <w:pPr>
        <w:pStyle w:val="ListBullet"/>
      </w:pPr>
      <w:r>
        <w:t xml:space="preserve">Restleistungsvermögen: </w:t>
      </w:r>
      <w:r>
        <w:rPr>
          <w:b/>
        </w:rPr>
        <w:t>6 Stunden täglich</w:t>
      </w:r>
      <w:r>
        <w:t xml:space="preserve"> für leichte Tätigkeiten (sitzend, ohne besondere körperliche oder geistige Anforderungen), kein Schichtdienst, kein Heben schwerer Lasten</w:t>
      </w:r>
    </w:p>
    <w:p>
      <w:pPr>
        <w:pStyle w:val="Heading3"/>
      </w:pPr>
      <w:r>
        <w:rPr>
          <w:rFonts w:ascii="Times New Roman" w:hAnsi="Times New Roman"/>
        </w:rPr>
        <w:t>Rechtliche Bewertung durch DRV</w:t>
      </w:r>
    </w:p>
    <w:p>
      <w:pPr>
        <w:jc w:val="left"/>
      </w:pPr>
      <w:r>
        <w:t>Da ein sechsstündiges Restleistungsvermögen vorliege, sei keine — auch keine teilweise — Erwerbsminderung im Sinne des § 43 SGB VI gegeben. Auf einen konkreten Arbeitsplatz müsse nicht verwiesen werden, da das Leistungsvermögen die Sechs-Stunden-Grenze erreiche.</w:t>
      </w:r>
    </w:p>
    <w:p>
      <w:pPr>
        <w:pStyle w:val="Heading3"/>
      </w:pPr>
      <w:r>
        <w:rPr>
          <w:rFonts w:ascii="Times New Roman" w:hAnsi="Times New Roman"/>
        </w:rPr>
        <w:t>Rentenrechtliche Zeiten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Beitragszeiten gesamt</w:t>
            </w:r>
          </w:p>
        </w:tc>
        <w:tc>
          <w:tcPr>
            <w:tcW w:type="dxa" w:w="4536"/>
          </w:tcPr>
          <w:p>
            <w:r>
              <w:rPr>
                <w:rFonts w:ascii="Times New Roman" w:hAnsi="Times New Roman"/>
                <w:sz w:val="20"/>
              </w:rPr>
              <w:t>18 Jahre 4 Monate</w:t>
            </w:r>
          </w:p>
        </w:tc>
      </w:tr>
      <w:tr>
        <w:tc>
          <w:tcPr>
            <w:tcW w:type="dxa" w:w="4536"/>
          </w:tcPr>
          <w:p>
            <w:r>
              <w:rPr>
                <w:rFonts w:ascii="Times New Roman" w:hAnsi="Times New Roman"/>
                <w:sz w:val="20"/>
              </w:rPr>
              <w:t>Pflichtbeitragszeiten letzte 5 Jahre</w:t>
            </w:r>
          </w:p>
        </w:tc>
        <w:tc>
          <w:tcPr>
            <w:tcW w:type="dxa" w:w="4536"/>
          </w:tcPr>
          <w:p>
            <w:r>
              <w:rPr>
                <w:rFonts w:ascii="Times New Roman" w:hAnsi="Times New Roman"/>
                <w:sz w:val="20"/>
              </w:rPr>
              <w:t>3 Jahre 8 Monate (erfüllt: mind. 3 Jahre)</w:t>
            </w:r>
          </w:p>
        </w:tc>
      </w:tr>
      <w:tr>
        <w:tc>
          <w:tcPr>
            <w:tcW w:type="dxa" w:w="4536"/>
          </w:tcPr>
          <w:p>
            <w:r>
              <w:rPr>
                <w:rFonts w:ascii="Times New Roman" w:hAnsi="Times New Roman"/>
                <w:sz w:val="20"/>
              </w:rPr>
              <w:t>Wartezeit (§ 50 SGB VI)</w:t>
            </w:r>
          </w:p>
        </w:tc>
        <w:tc>
          <w:tcPr>
            <w:tcW w:type="dxa" w:w="4536"/>
          </w:tcPr>
          <w:p>
            <w:r>
              <w:rPr>
                <w:rFonts w:ascii="Times New Roman" w:hAnsi="Times New Roman"/>
                <w:sz w:val="20"/>
              </w:rPr>
              <w:t>erfüllt (5-Jahres-Wartezeit)</w:t>
            </w:r>
          </w:p>
        </w:tc>
      </w:tr>
    </w:tbl>
    <w:p>
      <w:pPr>
        <w:jc w:val="left"/>
      </w:pPr>
      <w:r>
        <w:rPr>
          <w:i/>
        </w:rPr>
        <w:t>Hinweis: Die versicherungsrechtlichen Voraussetzungen (Wartezeit, Beitragszeiten) wären formal erfüllt — die Ablehnung erfolgt ausschließlich auf medizinischer Grundlage.</w:t>
      </w:r>
    </w:p>
    <w:p>
      <w:pPr>
        <w:pStyle w:val="Heading3"/>
      </w:pPr>
      <w:r>
        <w:rPr>
          <w:rFonts w:ascii="Times New Roman" w:hAnsi="Times New Roman"/>
        </w:rPr>
        <w:t>Rechtsbehelfsbelehrung DRV</w:t>
      </w:r>
    </w:p>
    <w:p>
      <w:pPr>
        <w:ind w:left="567"/>
      </w:pPr>
      <w:r>
        <w:rPr>
          <w:i/>
        </w:rPr>
        <w:t>Gegen diesen Bescheid kann innerhalb eines Monats nach Bekanntgabe Widerspruch eingelegt werden. Der Widerspruch ist schriftlich oder zur Niederschrift bei der Deutschen Rentenversicherung Mitteldeutschland einzulegen.</w:t>
      </w:r>
    </w:p>
    <w:p/>
    <w:p>
      <w:pPr>
        <w:pStyle w:val="Heading2"/>
      </w:pPr>
      <w:r>
        <w:rPr>
          <w:rFonts w:ascii="Times New Roman" w:hAnsi="Times New Roman"/>
        </w:rPr>
        <w:t>Kanzleiinterne Bewertung</w:t>
      </w:r>
    </w:p>
    <w:p>
      <w:pPr>
        <w:jc w:val="left"/>
      </w:pPr>
      <w:r>
        <w:rPr>
          <w:b/>
        </w:rPr>
        <w:t>Erstellt von:</w:t>
      </w:r>
      <w:r>
        <w:t xml:space="preserve"> RA Sonnemann, 17.02.2026</w:t>
      </w:r>
    </w:p>
    <w:p>
      <w:pPr>
        <w:pStyle w:val="Heading3"/>
      </w:pPr>
      <w:r>
        <w:rPr>
          <w:rFonts w:ascii="Times New Roman" w:hAnsi="Times New Roman"/>
        </w:rPr>
        <w:t>Schwachstellen des DRV-Gutachtens</w:t>
      </w:r>
    </w:p>
    <w:p>
      <w:pPr>
        <w:jc w:val="left"/>
      </w:pPr>
      <w:r>
        <w:t>Das Gutachten Dr. Härtung ist aus mehreren Gründen angreifbar:</w:t>
      </w:r>
    </w:p>
    <w:p>
      <w:pPr>
        <w:jc w:val="left"/>
      </w:pPr>
      <w:r>
        <w:rPr>
          <w:b/>
        </w:rPr>
        <w:t>1. Falsche Diagnose (Anpassungsstörung statt ME/CFS)</w:t>
      </w:r>
    </w:p>
    <w:p>
      <w:pPr>
        <w:jc w:val="left"/>
      </w:pPr>
      <w:r>
        <w:t>Die Diagnose F43.2 (Anpassungsstörung) setzt voraus, dass ein identifizierbarer Stressor vorliegt und die Symptomatik innerhalb von 6 Monaten nach Wegfall des Stressors abklingt. Bei Frau Feldermann besteht die Symptomatik seit über 4 Jahren unverändert fort. Die Diagnose ist per definitionem falsch. Das SKH Leipzig (spezialisierte psychiatrische Klinik) diagnostiziert F33.1 (rezidivierende depressive Störung), was ein weitaus schwereres Bild darstellt.</w:t>
      </w:r>
    </w:p>
    <w:p>
      <w:pPr>
        <w:jc w:val="left"/>
      </w:pPr>
      <w:r>
        <w:rPr>
          <w:b/>
        </w:rPr>
        <w:t>2. ME/CFS-Diagnose ignoriert</w:t>
      </w:r>
    </w:p>
    <w:p>
      <w:pPr>
        <w:jc w:val="left"/>
      </w:pPr>
      <w:r>
        <w:t>Die ME/CFS-Diagnose nach Canadian Consensus Criteria durch Prof. Scheibenbogen (Charité) wird im DRV-Gutachten nicht substanziell auseinandergesetzt, sondern pauschal als "nicht valide gesichert" abgetan. Dies entspricht nicht dem aktuellen Erkenntnisstand.</w:t>
      </w:r>
    </w:p>
    <w:p>
      <w:pPr>
        <w:jc w:val="left"/>
      </w:pPr>
      <w:r>
        <w:rPr>
          <w:b/>
        </w:rPr>
        <w:t>3. POTS-Objektivierung übergangen</w:t>
      </w:r>
    </w:p>
    <w:p>
      <w:pPr>
        <w:jc w:val="left"/>
      </w:pPr>
      <w:r>
        <w:t>Der positive Kipptisch-Test (kardiale Dysautonomie, POTS) wird im DRV-Gutachten nicht erwähnt, obwohl POTS per se ein erhebliches Leistungshindernis darstellt (Synkopen, orthostatische Intoleranz).</w:t>
      </w:r>
    </w:p>
    <w:p>
      <w:pPr>
        <w:jc w:val="left"/>
      </w:pPr>
      <w:r>
        <w:rPr>
          <w:b/>
        </w:rPr>
        <w:t>4. Post-Exertional Malaise nicht berücksichtigt</w:t>
      </w:r>
    </w:p>
    <w:p>
      <w:pPr>
        <w:jc w:val="left"/>
      </w:pPr>
      <w:r>
        <w:t>Das Kernsymptom von ME/CFS — die Post-Exertional Malaise (PEM) — wird im DRV-Gutachten nicht adäquat bewertet. PEM macht eine Tätigkeit von 6 Stunden täglich physikalisch unmöglich, weil bereits geringste Belastungen zu mehrtägiger Verschlechterung führen.</w:t>
      </w:r>
    </w:p>
    <w:p>
      <w:pPr>
        <w:pStyle w:val="Heading3"/>
      </w:pPr>
      <w:r>
        <w:rPr>
          <w:rFonts w:ascii="Times New Roman" w:hAnsi="Times New Roman"/>
        </w:rPr>
        <w:t>Strategieempfehlung</w:t>
      </w:r>
    </w:p>
    <w:p>
      <w:pPr>
        <w:pStyle w:val="ListNumber"/>
      </w:pPr>
      <w:r>
        <w:t>Widerspruch mit ausführlicher medizinischer Gegenargumentation</w:t>
      </w:r>
    </w:p>
    <w:p>
      <w:pPr>
        <w:pStyle w:val="ListNumber"/>
      </w:pPr>
      <w:r>
        <w:t>Beantragung Akteneinsicht (inkl. vollständiges Gutachten Dr. Härtung)</w:t>
      </w:r>
    </w:p>
    <w:p>
      <w:pPr>
        <w:pStyle w:val="ListNumber"/>
      </w:pPr>
      <w:r>
        <w:t>Nach Akteneinsicht: Einholung eines sozialmedizinischen Gegengutachtens (auf eigene Kosten oder über PKH)</w:t>
      </w:r>
    </w:p>
    <w:p>
      <w:pPr>
        <w:pStyle w:val="ListNumber"/>
      </w:pPr>
      <w:r>
        <w:t>Klage vor SG Leipzig, falls Widerspruch erfolglos</w:t>
      </w:r>
    </w:p>
    <w:p>
      <w:pPr>
        <w:pStyle w:val="Heading3"/>
      </w:pPr>
      <w:r>
        <w:rPr>
          <w:rFonts w:ascii="Times New Roman" w:hAnsi="Times New Roman"/>
        </w:rPr>
        <w:t>Fristen</w:t>
      </w:r>
    </w:p>
    <w:p>
      <w:pPr>
        <w:pStyle w:val="ListBullet"/>
      </w:pPr>
      <w:r>
        <w:t xml:space="preserve">Widerspruchsfrist: 1 Monat ab Bekanntgabe (Zugang: 14.02.2026 oder wenige Tage später) = spätestens </w:t>
      </w:r>
      <w:r>
        <w:rPr>
          <w:b/>
        </w:rPr>
        <w:t>14.03.2026</w:t>
      </w:r>
    </w:p>
    <w:p>
      <w:pPr>
        <w:pStyle w:val="ListBullet"/>
      </w:pPr>
      <w:r>
        <w:t xml:space="preserve">Praktisch: Widerspruch bis </w:t>
      </w:r>
      <w:r>
        <w:rPr>
          <w:b/>
        </w:rPr>
        <w:t>12.03.2026</w:t>
      </w:r>
      <w:r>
        <w:t xml:space="preserve"> einlegen</w:t>
      </w:r>
    </w:p>
    <w:p/>
    <w:p>
      <w:pPr>
        <w:jc w:val="left"/>
      </w:pPr>
      <w:r>
        <w:rPr>
          <w:i/>
        </w:rPr>
        <w:t>Angelegt: RA Sonnemann, 17.02.2026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