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Bescheid LASOV Sachsen – GdB 30 – September 2023</w:t>
      </w:r>
    </w:p>
    <w:p>
      <w:pPr>
        <w:jc w:val="left"/>
      </w:pPr>
      <w:r>
        <w:rPr>
          <w:b/>
        </w:rPr>
        <w:t>[DOKUMENTENTYP: Scan des behördlichen Bescheids – Anlage in Kanzleiakte]</w:t>
      </w:r>
    </w:p>
    <w:p/>
    <w:p>
      <w:pPr>
        <w:pStyle w:val="Heading2"/>
      </w:pPr>
      <w:r>
        <w:rPr>
          <w:rFonts w:ascii="Times New Roman" w:hAnsi="Times New Roman"/>
        </w:rPr>
        <w:t>Behörde</w:t>
      </w:r>
    </w:p>
    <w:p>
      <w:pPr>
        <w:jc w:val="left"/>
      </w:pPr>
      <w:r>
        <w:t>Landesamt für Soziales und Verbraucherschutz (LASOV) Sachsen</w:t>
      </w:r>
    </w:p>
    <w:p>
      <w:pPr>
        <w:jc w:val="left"/>
      </w:pPr>
      <w:r>
        <w:t>Referat 23 – Schwerbehindertenrecht</w:t>
      </w:r>
    </w:p>
    <w:p>
      <w:pPr>
        <w:jc w:val="left"/>
      </w:pPr>
      <w:r>
        <w:t>Altchemnitzer Straße 41</w:t>
      </w:r>
    </w:p>
    <w:p>
      <w:pPr>
        <w:jc w:val="left"/>
      </w:pPr>
      <w:r>
        <w:t>09120 Chemnitz</w:t>
      </w:r>
    </w:p>
    <w:p/>
    <w:p>
      <w:pPr>
        <w:pStyle w:val="Heading2"/>
      </w:pPr>
      <w:r>
        <w:rPr>
          <w:rFonts w:ascii="Times New Roman" w:hAnsi="Times New Roman"/>
        </w:rPr>
        <w:t>Bescheidinformationen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Az. LASOV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SBH-L-23-0047892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Datum Bescheid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19.09.2023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Empfängerin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Vivian Feldermann, Bornaische Straße 78, 04277 Leipzig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Sachbearbeiterin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Frau Heike Schwarz, Ref. 23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Antragsdatum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14.02.2023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Tenor (Zusammenfassung)</w:t>
      </w:r>
    </w:p>
    <w:p>
      <w:pPr>
        <w:jc w:val="left"/>
      </w:pPr>
      <w:r>
        <w:t>Der Antrag der Antragstellerin Vivian Feldermann auf Feststellung eines Grades der Behinderung (GdB) wird wie folgt beschieden:</w:t>
      </w:r>
    </w:p>
    <w:p>
      <w:pPr>
        <w:jc w:val="left"/>
      </w:pPr>
      <w:r>
        <w:rPr>
          <w:b/>
        </w:rPr>
        <w:t>GdB: 30 (in Worten: dreißig)</w:t>
      </w:r>
    </w:p>
    <w:p>
      <w:pPr>
        <w:jc w:val="left"/>
      </w:pPr>
      <w:r>
        <w:t>Merkzeichen: keine Merkzeichen werden zuerkannt.</w:t>
      </w:r>
    </w:p>
    <w:p/>
    <w:p>
      <w:pPr>
        <w:pStyle w:val="Heading2"/>
      </w:pPr>
      <w:r>
        <w:rPr>
          <w:rFonts w:ascii="Times New Roman" w:hAnsi="Times New Roman"/>
        </w:rPr>
        <w:t>Begründung (Zusammenfassung durch Kanzlei)</w:t>
      </w:r>
    </w:p>
    <w:p>
      <w:pPr>
        <w:jc w:val="left"/>
      </w:pPr>
      <w:r>
        <w:t>Das LASOV stützt sich auf ein versorgungsärztliches Gutachten (Versorgungsarzt Dr. Günter Laube, LASOV Chemnitz), das im August 2023 auf Grundlage vorgelegter Arztberichte ohne persönliche Untersuchung erstattet wurde.</w:t>
      </w:r>
    </w:p>
    <w:p>
      <w:pPr>
        <w:pStyle w:val="Heading3"/>
      </w:pPr>
      <w:r>
        <w:rPr>
          <w:rFonts w:ascii="Times New Roman" w:hAnsi="Times New Roman"/>
        </w:rPr>
        <w:t>Einzel-GdB-Bewertung des LASOV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Funktionsstörung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Einzel-GdB laut LASOV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Chronisches Erschöpfungssyndrom (Fatigue)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Depressive Störung (F33.1, mittelgradig)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Autonome Dysregulation (POTS)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Kognitive Dysfunktion (brain fog)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</w:tr>
    </w:tbl>
    <w:p>
      <w:pPr>
        <w:jc w:val="left"/>
      </w:pPr>
      <w:r>
        <w:rPr>
          <w:b/>
        </w:rPr>
        <w:t>Gesamt-GdB: 30</w:t>
      </w:r>
      <w:r>
        <w:t xml:space="preserve"> (LASOV begründet: die Einzel-GdB überschneiden sich erheblich; nach den Anhaltspunkten zur Begutachtung sei kein höherer Gesamt-GdB gerechtfertigt)</w:t>
      </w:r>
    </w:p>
    <w:p/>
    <w:p>
      <w:pPr>
        <w:pStyle w:val="Heading2"/>
      </w:pPr>
      <w:r>
        <w:rPr>
          <w:rFonts w:ascii="Times New Roman" w:hAnsi="Times New Roman"/>
        </w:rPr>
        <w:t>Kanzleiinterne Bewertung</w:t>
      </w:r>
    </w:p>
    <w:p>
      <w:pPr>
        <w:pStyle w:val="Heading3"/>
      </w:pPr>
      <w:r>
        <w:rPr>
          <w:rFonts w:ascii="Times New Roman" w:hAnsi="Times New Roman"/>
        </w:rPr>
        <w:t>Fehlerhafte Einzel-GdB-Bewertungen</w:t>
      </w:r>
    </w:p>
    <w:p>
      <w:pPr>
        <w:jc w:val="left"/>
      </w:pPr>
      <w:r>
        <w:rPr>
          <w:b/>
        </w:rPr>
        <w:t>Zu Fatigue/ME/CFS:</w:t>
      </w:r>
      <w:r>
        <w:t xml:space="preserve"> Nach den Anhaltspunkten für die ärztliche Gutachtertätigkeit im sozialen Entschädigungsrecht und nach dem Schwerbehindertenrecht (AHP, nunmehr Versorgungsmedizin-Verordnung, VMG, Anlage "Versorgungsmedizinische Grundsätze") ist bei einer schweren ME/CFS-Erkrankung mit vollständiger Arbeitsunfähigkeit und erheblicher Einschränkung der Alltagsaktivitäten ein Einzel-GdB von mindestens </w:t>
      </w:r>
      <w:r>
        <w:rPr>
          <w:b/>
        </w:rPr>
        <w:t>50–70</w:t>
      </w:r>
      <w:r>
        <w:t xml:space="preserve"> anzusetzen, nicht 20. Eine schwere Fatigue mit PEM, die die Person an 4–5 Wochentagen ans Bett bindet, entspricht einer erheblichen Beeinträchtigung der Körperfunktionen.</w:t>
      </w:r>
    </w:p>
    <w:p>
      <w:pPr>
        <w:jc w:val="left"/>
      </w:pPr>
      <w:r>
        <w:rPr>
          <w:b/>
        </w:rPr>
        <w:t>Zu Depression F33.1:</w:t>
      </w:r>
      <w:r>
        <w:t xml:space="preserve"> Eine mittelgradige depressive Episode (F33.1) entspricht nach VMG einem Einzel-GdB von </w:t>
      </w:r>
      <w:r>
        <w:rPr>
          <w:b/>
        </w:rPr>
        <w:t>30–40</w:t>
      </w:r>
      <w:r>
        <w:t>, nicht 20.</w:t>
      </w:r>
    </w:p>
    <w:p>
      <w:pPr>
        <w:jc w:val="left"/>
      </w:pPr>
      <w:r>
        <w:rPr>
          <w:b/>
        </w:rPr>
        <w:t>Zu POTS:</w:t>
      </w:r>
      <w:r>
        <w:t xml:space="preserve"> POTS mit dokumentierten Synkopen und eingeschränkter Belastungstoleranz entspricht einem Einzel-GdB von </w:t>
      </w:r>
      <w:r>
        <w:rPr>
          <w:b/>
        </w:rPr>
        <w:t>20–40</w:t>
      </w:r>
      <w:r>
        <w:t>, nicht 10.</w:t>
      </w:r>
    </w:p>
    <w:p>
      <w:pPr>
        <w:jc w:val="left"/>
      </w:pPr>
      <w:r>
        <w:rPr>
          <w:b/>
        </w:rPr>
        <w:t>Gesamt-GdB:</w:t>
      </w:r>
      <w:r>
        <w:t xml:space="preserve"> Bei korrekter Bewertung der schwersten Beeinträchtigung (ME/CFS: GdB 50–70) und Addition der weiteren Beeinträchtigungen (Depression: +10 bis +20; POTS: +10) ergäbe sich ein Gesamt-GdB von mindestens </w:t>
      </w:r>
      <w:r>
        <w:rPr>
          <w:b/>
        </w:rPr>
        <w:t>60–70</w:t>
      </w:r>
      <w:r>
        <w:t>, also eindeutig Schwerbehinderung (GdB ≥ 50).</w:t>
      </w:r>
    </w:p>
    <w:p>
      <w:pPr>
        <w:pStyle w:val="Heading3"/>
      </w:pPr>
      <w:r>
        <w:rPr>
          <w:rFonts w:ascii="Times New Roman" w:hAnsi="Times New Roman"/>
        </w:rPr>
        <w:t>Verfahrensfehler</w:t>
      </w:r>
    </w:p>
    <w:p>
      <w:pPr>
        <w:jc w:val="left"/>
      </w:pPr>
      <w:r>
        <w:t>Das Gutachten Dr. Laube wurde ohne persönliche Untersuchung der Antragstellerin erstattet. Dies ist bei einem komplexen, multifaktoriellen Krankheitsbild wie Post-Covid/ME/CFS methodisch unzureichend und verstößt gegen die Grundsätze ordnungsgemäßer Gutachtenerstattung im Schwerbehindertenrecht.</w:t>
      </w:r>
    </w:p>
    <w:p>
      <w:pPr>
        <w:pStyle w:val="Heading3"/>
      </w:pPr>
      <w:r>
        <w:rPr>
          <w:rFonts w:ascii="Times New Roman" w:hAnsi="Times New Roman"/>
        </w:rPr>
        <w:t>Widerspruch</w:t>
      </w:r>
    </w:p>
    <w:p>
      <w:pPr>
        <w:jc w:val="left"/>
      </w:pPr>
      <w:r>
        <w:t>Frau Feldermann hat nach Bescheiderlass im Oktober 2023 selbst Widerspruch eingelegt. Über diesen Widerspruch wurde bislang nicht entschieden (Widerspruchsverfahren hängig). Die Kanzlei übernimmt die Vertretung im Widerspruchsverfahren (vgl. Aktenstück 09).</w:t>
      </w:r>
    </w:p>
    <w:p/>
    <w:p>
      <w:pPr>
        <w:jc w:val="left"/>
      </w:pPr>
      <w:r>
        <w:rPr>
          <w:i/>
        </w:rPr>
        <w:t>Angelegt: RA Sonnemann, 17.02.2026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