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Akteneinsicht DRV Mitteldeutschland – Auswertungsbericht</w:t>
      </w:r>
    </w:p>
    <w:p>
      <w:pPr>
        <w:jc w:val="left"/>
      </w:pPr>
      <w:r>
        <w:rPr>
          <w:b/>
        </w:rPr>
        <w:t>Aktenzeichen DRV:</w:t>
      </w:r>
      <w:r>
        <w:t xml:space="preserve"> xx 060379 41 W 077</w:t>
      </w:r>
    </w:p>
    <w:p>
      <w:pPr>
        <w:jc w:val="left"/>
      </w:pPr>
      <w:r>
        <w:rPr>
          <w:b/>
        </w:rPr>
        <w:t>Erstellt:</w:t>
      </w:r>
      <w:r>
        <w:t xml:space="preserve"> 05.03.2026</w:t>
      </w:r>
    </w:p>
    <w:p>
      <w:pPr>
        <w:jc w:val="left"/>
      </w:pPr>
      <w:r>
        <w:rPr>
          <w:b/>
        </w:rPr>
        <w:t>Erstellt durch:</w:t>
      </w:r>
      <w:r>
        <w:t xml:space="preserve"> RA Sonnemann nach Einsicht in 3 Bände DRV-Verwaltungsakte (Leipzig, 04.03.2026)</w:t>
      </w:r>
    </w:p>
    <w:p>
      <w:pPr>
        <w:jc w:val="left"/>
      </w:pPr>
      <w:r>
        <w:rPr>
          <w:b/>
        </w:rPr>
        <w:t>Einsichtsdatum:</w:t>
      </w:r>
      <w:r>
        <w:t xml:space="preserve"> 04.03.2026, DRV-Auslegestelle Leipzig, Georg-Schumann-Str. 146</w:t>
      </w:r>
    </w:p>
    <w:p/>
    <w:p>
      <w:pPr>
        <w:pStyle w:val="Heading2"/>
      </w:pPr>
      <w:r>
        <w:rPr>
          <w:rFonts w:ascii="Times New Roman" w:hAnsi="Times New Roman"/>
        </w:rPr>
        <w:t>1. Umfang der vorgelegten Akte</w:t>
      </w:r>
    </w:p>
    <w:p>
      <w:pPr>
        <w:jc w:val="left"/>
      </w:pPr>
      <w:r>
        <w:t xml:space="preserve">Die Rentenakte besteht aus </w:t>
      </w:r>
      <w:r>
        <w:rPr>
          <w:b/>
        </w:rPr>
        <w:t>3 Bänden</w:t>
      </w:r>
      <w:r>
        <w:t xml:space="preserve"> mit insgesamt ca. 340 Seiten: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Blätter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Band 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Antrag, Versicherungsverlauf, allgemeine Korrespondenz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1–112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Band 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Medizinische Unterlagen, Gutachten, ärztliche Stellungnahmen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113–248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Band III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Widerspruchsvorgang, Bescheide, interne Vermerke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249–340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Wesentliche Fundstellen</w:t>
      </w:r>
    </w:p>
    <w:p>
      <w:pPr>
        <w:pStyle w:val="Heading3"/>
      </w:pPr>
      <w:r>
        <w:rPr>
          <w:rFonts w:ascii="Times New Roman" w:hAnsi="Times New Roman"/>
        </w:rPr>
        <w:t>2.1 Gutachten Dr. Härtung (Band II, Bl. 156–201)</w:t>
      </w:r>
    </w:p>
    <w:p>
      <w:pPr>
        <w:jc w:val="left"/>
      </w:pPr>
      <w:r>
        <w:rPr>
          <w:b/>
        </w:rPr>
        <w:t>Datum:</w:t>
      </w:r>
      <w:r>
        <w:t xml:space="preserve"> 17.11.2025</w:t>
      </w:r>
    </w:p>
    <w:p>
      <w:pPr>
        <w:jc w:val="left"/>
      </w:pPr>
      <w:r>
        <w:rPr>
          <w:b/>
        </w:rPr>
        <w:t>Umfang:</w:t>
      </w:r>
      <w:r>
        <w:t xml:space="preserve"> 46 Seiten</w:t>
      </w:r>
    </w:p>
    <w:p>
      <w:pPr>
        <w:jc w:val="left"/>
      </w:pPr>
      <w:r>
        <w:rPr>
          <w:b/>
        </w:rPr>
        <w:t>Ergebnis:</w:t>
      </w:r>
      <w:r>
        <w:t xml:space="preserve"> Restleistungsvermögen 6 Stunden/Tag (s. Aktenstück 06)</w:t>
      </w:r>
    </w:p>
    <w:p>
      <w:pPr>
        <w:jc w:val="left"/>
      </w:pPr>
      <w:r>
        <w:rPr>
          <w:b/>
        </w:rPr>
        <w:t>Auffälligkeiten:</w:t>
      </w:r>
    </w:p>
    <w:p>
      <w:pPr>
        <w:pStyle w:val="ListBullet"/>
      </w:pPr>
      <w:r>
        <w:t>Der Gutachter hat die ME/CFS-Diagnose der Charité (Prof. Scheibenbogen, 11/2025) zwar zur Kenntnis genommen (zitiert Band II, Bl. 184), aber mit dem Hinweis abgetan, es gebe "keinen allgemein anerkannten diagnostischen Standard für ME/CFS in der deutschen Sozialmedizin". Diese Aussage ist falsch — die S3-Leitlinie Post-COVID (AWMF 020-027, Dezember 2023) enthält dezidierte Diagnosekriterien.</w:t>
      </w:r>
    </w:p>
    <w:p>
      <w:pPr>
        <w:pStyle w:val="ListBullet"/>
      </w:pPr>
      <w:r>
        <w:t>Der Kipptisch-Test (positiv, Kardiologie UKL, April 2022) ist auf Bl. 188 zwar verzeichnet, wird aber nicht in die Leistungsfähigkeitsbeurteilung einbezogen. Begründung: "Der Befund sei nicht reproduziert worden." Das ist unzutreffend: Der Bericht Dr. Märker (01/2026) bestätigt fortbestehende POTS-Symptomatik.</w:t>
      </w:r>
    </w:p>
    <w:p>
      <w:pPr>
        <w:pStyle w:val="ListBullet"/>
      </w:pPr>
      <w:r>
        <w:t>Kein Zwei-Tage-CPET durchgeführt (Standard bei ME/CFS zur Objektivierung der PEM).</w:t>
      </w:r>
    </w:p>
    <w:p>
      <w:pPr>
        <w:pStyle w:val="ListBullet"/>
      </w:pPr>
      <w:r>
        <w:t>Dauer der Untersuchung laut Gutachten: 85 Minuten. Für eine vollständige sozialmedizinische Beurteilung bei komplexem chronischem Krankheitsbild nach ME/CFS-Standard zu kurz.</w:t>
      </w:r>
    </w:p>
    <w:p>
      <w:pPr>
        <w:pStyle w:val="Heading3"/>
      </w:pPr>
      <w:r>
        <w:rPr>
          <w:rFonts w:ascii="Times New Roman" w:hAnsi="Times New Roman"/>
        </w:rPr>
        <w:t>2.2 Interner Vermerk DRV (Band III, Bl. 267–270)</w:t>
      </w:r>
    </w:p>
    <w:p>
      <w:pPr>
        <w:jc w:val="left"/>
      </w:pPr>
      <w:r>
        <w:t>Datum: 25.11.2025 (nach Eingang Gutachten Härtung)</w:t>
      </w:r>
    </w:p>
    <w:p>
      <w:pPr>
        <w:jc w:val="left"/>
      </w:pPr>
      <w:r>
        <w:t>Sachbearbeiter Vogel vermerkt: "Gutachten liegt vor. Rentabilität: negativ. Restleistungsvermögen 6h. Bescheid vorzubereiten."</w:t>
      </w:r>
    </w:p>
    <w:p>
      <w:pPr>
        <w:jc w:val="left"/>
      </w:pPr>
      <w:r>
        <w:t>Kein Hinweis darauf, dass die widersprüchlichen Fachbefunde (Charité, SKH) dem Gutachter zur Nachbegutachtung vorgelegt wurden. Verstoß gegen Amtsermittlungsgrundsatz (§ 20 SGB X).</w:t>
      </w:r>
    </w:p>
    <w:p>
      <w:pPr>
        <w:pStyle w:val="Heading3"/>
      </w:pPr>
      <w:r>
        <w:rPr>
          <w:rFonts w:ascii="Times New Roman" w:hAnsi="Times New Roman"/>
        </w:rPr>
        <w:t>2.3 Rentenversicherungsverlauf (Band I, Bl. 23–45)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Beitragsmonate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2006–2009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Ausbildung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2009–2021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UKL Leipzig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11/2021–02/2024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Krankengeld (AOK Plus)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03/2024–02/2026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Beiträge (ALG II beantragt, abgelehnt)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210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17,5 Jahre Beitragszeit</w:t>
            </w:r>
          </w:p>
        </w:tc>
      </w:tr>
    </w:tbl>
    <w:p>
      <w:pPr>
        <w:jc w:val="left"/>
      </w:pPr>
      <w:r>
        <w:t>Versicherungsrechtliche Voraussetzungen § 43 SGB VI: 5-Jahres-Wartezeit erfüllt (210 Monate &gt; 60 Monate). 3 Jahre Pflichtbeiträge in letzten 5 Jahren: Bl. 45 zeigt 27 Monate Krankengeld-Beiträge (11/2021–01/2024) innerhalb der letzten 5 Jahre → Voraussetzung erfüllt.</w:t>
      </w:r>
    </w:p>
    <w:p>
      <w:pPr>
        <w:pStyle w:val="Heading3"/>
      </w:pPr>
      <w:r>
        <w:rPr>
          <w:rFonts w:ascii="Times New Roman" w:hAnsi="Times New Roman"/>
        </w:rPr>
        <w:t>2.4 Ärztliche Stellungnahmen im DRV-Akt (Band II, versch. Bl.)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Aussage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119–122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Märker (Hausarzt)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03/2024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"Vollständige Arbeitsunfähigkeit auf unabsehbare Zeit; ME/CFS schwer"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123–141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Prof. Scheibenbogen (Charité), 1. Bericht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04/2024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"ME/CFS Grad 3 nach FUNCAP: &gt;50 % des Tages liegend; PEM nach jeder Aktivität &gt;2 min"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142–155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SKH Leipzig (Psychiatrie)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12/2024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"F33.1, mittelgradige depressive Episode, stationäre Behandlung abgeschlossen; fortlaufende ambulante Therapie erforderlich; nicht arbeitsfähig"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156–201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Härtung (DRV-Gutachten)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Restleistungsvermögen 6h/Tag (kritisch bewertet, s. o.)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202–210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Prof. Scheibenbogen (Charité), 2. Bericht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"Keine Verbesserung; ME/CFS schwer; POTS objektiviert; Prognose: dauerhaft vollständig erwerbsunfähig"</w:t>
            </w:r>
          </w:p>
        </w:tc>
      </w:tr>
    </w:tbl>
    <w:p>
      <w:pPr>
        <w:jc w:val="left"/>
      </w:pPr>
      <w:r>
        <w:rPr>
          <w:b/>
        </w:rPr>
        <w:t>Fazit:</w:t>
      </w:r>
      <w:r>
        <w:t xml:space="preserve"> Drei unabhängige Fachärzte/Einrichtungen (Hausarzt Märker, Charité Scheibenbogen, SKH Psychiatrie) kommen zum Ergebnis vollständiger Erwerbsunfähigkeit. Das DRV-Gutachten Härtung steht als einzige Stimme dagegen — und ist methodisch angreifbar (s. Aktenstück 07).</w:t>
      </w:r>
    </w:p>
    <w:p/>
    <w:p>
      <w:pPr>
        <w:pStyle w:val="Heading2"/>
      </w:pPr>
      <w:r>
        <w:rPr>
          <w:rFonts w:ascii="Times New Roman" w:hAnsi="Times New Roman"/>
        </w:rPr>
        <w:t>3. Verfahrensrechtliche Beanstandungen</w:t>
      </w:r>
    </w:p>
    <w:p>
      <w:pPr>
        <w:pStyle w:val="ListNumber"/>
      </w:pPr>
      <w:r>
        <w:rPr>
          <w:b/>
        </w:rPr>
        <w:t>§ 20 SGB X (Amtsermittlung):</w:t>
      </w:r>
      <w:r>
        <w:t xml:space="preserve"> Die DRV hat trotz offensichtlichem Widerspruch zwischen DRV-Gutachten und Fachbefunden kein Gegengutachten oder Ergänzungsgutachten eingeholt.</w:t>
      </w:r>
    </w:p>
    <w:p>
      <w:pPr>
        <w:pStyle w:val="ListNumber"/>
      </w:pPr>
      <w:r>
        <w:rPr>
          <w:b/>
        </w:rPr>
        <w:t>§ 25 SGB X (Akteneinsicht):</w:t>
      </w:r>
      <w:r>
        <w:t xml:space="preserve"> Akteneinsicht wurde erstmals am 18.02.2026 beantragt; Akte erst am 04.03.2026 vorgelegt (14 Tage Wartezeit). Fristenkontrolle beachten.</w:t>
      </w:r>
    </w:p>
    <w:p>
      <w:pPr>
        <w:pStyle w:val="ListNumber"/>
      </w:pPr>
      <w:r>
        <w:rPr>
          <w:b/>
        </w:rPr>
        <w:t>Fehlende Anhörung (§ 24 SGB X):</w:t>
      </w:r>
      <w:r>
        <w:t xml:space="preserve"> Es ist nicht dokumentiert, dass die Versicherte vor Erlass des Ablehnungsbescheids ordnungsgemäß angehört wurde. Band III, Bl. 260–265 enthält ein Anhörungsschreiben vom 28.11.2025; Antwort der Versicherten (ohne anwaltliche Vertretung) auf Bl. 266 — inhaltlich unzureichend, da Fachbefunde nicht vorlagen.</w:t>
      </w:r>
    </w:p>
    <w:p/>
    <w:p>
      <w:pPr>
        <w:pStyle w:val="Heading2"/>
      </w:pPr>
      <w:r>
        <w:rPr>
          <w:rFonts w:ascii="Times New Roman" w:hAnsi="Times New Roman"/>
        </w:rPr>
        <w:t>4. Empfehlungen für das Widerspruchsverfahren</w:t>
      </w:r>
    </w:p>
    <w:p>
      <w:pPr>
        <w:pStyle w:val="ListNumber"/>
      </w:pPr>
      <w:r>
        <w:t xml:space="preserve">Einholung eines </w:t>
      </w:r>
      <w:r>
        <w:rPr>
          <w:b/>
        </w:rPr>
        <w:t>Privatgutachtens</w:t>
      </w:r>
      <w:r>
        <w:t xml:space="preserve"> (ME/CFS-Spezialist, z. B. Charité oder Universitätsklinik Hamburg/Eppendorf) — Kosten ca. 1.500–2.500 EUR; ggf. über PKH.</w:t>
      </w:r>
    </w:p>
    <w:p>
      <w:pPr>
        <w:pStyle w:val="ListNumber"/>
      </w:pPr>
      <w:r>
        <w:rPr>
          <w:b/>
        </w:rPr>
        <w:t>Zwei-Tage-CPET</w:t>
      </w:r>
      <w:r>
        <w:t xml:space="preserve"> (kardiopulmonaler Belastungstest über zwei aufeinanderfolgende Tage) bei Prof. Scheibenbogen anfordern — zentrales Beweismittel für PEM-Objektivierung.</w:t>
      </w:r>
    </w:p>
    <w:p>
      <w:pPr>
        <w:pStyle w:val="ListNumber"/>
      </w:pPr>
      <w:r>
        <w:rPr>
          <w:b/>
        </w:rPr>
        <w:t>Zeugenbeweis:</w:t>
      </w:r>
      <w:r>
        <w:t xml:space="preserve"> Dres. Märker und Scheibenbogen als sachverständige Zeugen benennen.</w:t>
      </w:r>
    </w:p>
    <w:p>
      <w:pPr>
        <w:pStyle w:val="ListNumber"/>
      </w:pPr>
      <w:r>
        <w:t>Falls Widerspruch erfolglos: Klage vor SG Leipzig und Antrag auf gerichtliches Sachverständigengutachten.</w:t>
      </w:r>
    </w:p>
    <w:p/>
    <w:p>
      <w:pPr>
        <w:jc w:val="left"/>
      </w:pPr>
      <w:r>
        <w:rPr>
          <w:i/>
        </w:rPr>
        <w:t>Erstellt: RA Sonnemann, 05.03.2026</w:t>
      </w:r>
    </w:p>
    <w:p>
      <w:pPr>
        <w:jc w:val="left"/>
      </w:pPr>
      <w:r>
        <w:rPr>
          <w:i/>
        </w:rPr>
        <w:t>Kanzlei-AZ: SON-2026-0047-FEL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