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Befundbericht – Charité Long-Covid-Ambulanz – Prof. Dr. Scheibenbogen</w:t>
      </w:r>
    </w:p>
    <w:p>
      <w:pPr>
        <w:jc w:val="left"/>
      </w:pPr>
      <w:r>
        <w:rPr>
          <w:b/>
        </w:rPr>
        <w:t>[DOKUMENTENTYP: Ärztlicher Befundbericht – Kopie in Kanzleiakte, Original bei Mandantin]</w:t>
      </w:r>
    </w:p>
    <w:p/>
    <w:p>
      <w:pPr>
        <w:pStyle w:val="Heading2"/>
      </w:pPr>
      <w:r>
        <w:rPr>
          <w:rFonts w:ascii="Times New Roman" w:hAnsi="Times New Roman"/>
        </w:rPr>
        <w:t>Kopfzeile (Briefkopf Charité)</w:t>
      </w:r>
    </w:p>
    <w:p>
      <w:pPr>
        <w:jc w:val="left"/>
      </w:pPr>
      <w:r>
        <w:rPr>
          <w:b/>
        </w:rPr>
        <w:t>Charité – Universitätsmedizin Berlin</w:t>
      </w:r>
    </w:p>
    <w:p>
      <w:pPr>
        <w:jc w:val="left"/>
      </w:pPr>
      <w:r>
        <w:t>Institut für Medizinische Immunologie</w:t>
      </w:r>
    </w:p>
    <w:p>
      <w:pPr>
        <w:jc w:val="left"/>
      </w:pPr>
      <w:r>
        <w:t>Fatigue-Centrum und Long-Covid-Ambulanz</w:t>
      </w:r>
    </w:p>
    <w:p>
      <w:pPr>
        <w:jc w:val="left"/>
      </w:pPr>
      <w:r>
        <w:t>Augustenburger Platz 1</w:t>
      </w:r>
    </w:p>
    <w:p>
      <w:pPr>
        <w:jc w:val="left"/>
      </w:pPr>
      <w:r>
        <w:t>13353 Berlin (Campus Virchow-Klinikum)</w:t>
      </w:r>
    </w:p>
    <w:p>
      <w:pPr>
        <w:jc w:val="left"/>
      </w:pPr>
      <w:r>
        <w:t>Tel.: 030 / 450 524 167</w:t>
      </w:r>
    </w:p>
    <w:p>
      <w:pPr>
        <w:jc w:val="left"/>
      </w:pPr>
      <w:r>
        <w:t xml:space="preserve">Leitung: </w:t>
      </w:r>
      <w:r>
        <w:rPr>
          <w:b/>
        </w:rPr>
        <w:t>Prof. Dr. med. Carmen Scheibenbogen</w:t>
      </w:r>
    </w:p>
    <w:p/>
    <w:p>
      <w:pPr>
        <w:pStyle w:val="Heading2"/>
      </w:pPr>
      <w:r>
        <w:rPr>
          <w:rFonts w:ascii="Times New Roman" w:hAnsi="Times New Roman"/>
        </w:rPr>
        <w:t>Patientendaten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Patientin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geb. 03.09.1984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Bornaische Straße 78, 04277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AOK Plus Sachsen, VersNr. 1234 5678 910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Überweisender Arzt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Thomas Märker, FA Allgemeinmedizin,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Vorstellungen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 Vorstellung (1. Vorstellung: 14.03.2022)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Behandlungsart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Ambulante Vorstellung, Long-Covid-Ambulanz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Diagnosen (ICD-10-GM)</w:t>
      </w:r>
    </w:p>
    <w:p>
      <w:pPr>
        <w:pStyle w:val="ListNumber"/>
      </w:pPr>
      <w:r>
        <w:rPr>
          <w:b/>
        </w:rPr>
        <w:t>U09.9</w:t>
      </w:r>
      <w:r>
        <w:t xml:space="preserve"> – Post-COVID-Zustand, nicht näher bezeichnet</w:t>
      </w:r>
    </w:p>
    <w:p>
      <w:pPr>
        <w:pStyle w:val="ListNumber"/>
      </w:pPr>
      <w:r>
        <w:rPr>
          <w:b/>
        </w:rPr>
        <w:t>G93.3</w:t>
      </w:r>
      <w:r>
        <w:t xml:space="preserve"> – Chronisches Erschöpfungssyndrom (ME/CFS), </w:t>
      </w:r>
      <w:r>
        <w:rPr>
          <w:b/>
        </w:rPr>
        <w:t>schwere Verlaufsform</w:t>
      </w:r>
      <w:r>
        <w:t xml:space="preserve"> (nach Canadian Consensus Criteria und ICC 2011)</w:t>
      </w:r>
    </w:p>
    <w:p>
      <w:pPr>
        <w:pStyle w:val="ListNumber"/>
      </w:pPr>
      <w:r>
        <w:rPr>
          <w:b/>
        </w:rPr>
        <w:t>G90.3</w:t>
      </w:r>
      <w:r>
        <w:t xml:space="preserve"> – Posturales Tachykardiesyndrom (POTS), gesichert</w:t>
      </w:r>
    </w:p>
    <w:p>
      <w:pPr>
        <w:pStyle w:val="ListNumber"/>
      </w:pPr>
      <w:r>
        <w:rPr>
          <w:b/>
        </w:rPr>
        <w:t>R41.3</w:t>
      </w:r>
      <w:r>
        <w:t xml:space="preserve"> – Sonstige und nicht näher bezeichnete kognitive Störungen (brain fog)</w:t>
      </w:r>
    </w:p>
    <w:p>
      <w:pPr>
        <w:pStyle w:val="ListNumber"/>
      </w:pPr>
      <w:r>
        <w:rPr>
          <w:b/>
        </w:rPr>
        <w:t>F33.1</w:t>
      </w:r>
      <w:r>
        <w:t xml:space="preserve"> – Rezidivierende depressive Störung, mittelgradige Episode (in Mitbehandlung SKH Leipzig)</w:t>
      </w:r>
    </w:p>
    <w:p/>
    <w:p>
      <w:pPr>
        <w:pStyle w:val="Heading2"/>
      </w:pPr>
      <w:r>
        <w:rPr>
          <w:rFonts w:ascii="Times New Roman" w:hAnsi="Times New Roman"/>
        </w:rPr>
        <w:t>Anamnese (aktualisiert 11/2025)</w:t>
      </w:r>
    </w:p>
    <w:p>
      <w:pPr>
        <w:jc w:val="left"/>
      </w:pPr>
      <w:r>
        <w:t>Frau Feldermann stellt sich heute zur 8. Vorstellung in unserer Ambulanz vor. Die Symptomatik besteht seit November 2021, ausgelöst durch eine SARS-CoV-2-Infektion im Rahmen ihrer Tätigkeit als Pflegekraft auf der Covid-Isolierstation am UKL Leipzig.</w:t>
      </w:r>
    </w:p>
    <w:p>
      <w:pPr>
        <w:jc w:val="left"/>
      </w:pPr>
      <w:r>
        <w:rPr>
          <w:b/>
        </w:rPr>
        <w:t>Aktuelle Symptombelastung:</w:t>
      </w:r>
    </w:p>
    <w:p>
      <w:pPr>
        <w:pStyle w:val="ListBullet"/>
      </w:pPr>
      <w:r>
        <w:t>PEM: Jede physische oder kognitive Aktivität &gt;5–10 Minuten führt zu einem "Crash" mit schwerer Erschöpfung, der 2–5 Tage anhält. Die Patientin gibt an, an durchschnittlich 4–5 von 7 Tagen in der Woche überwiegend liegend zu verbringen.</w:t>
      </w:r>
    </w:p>
    <w:p>
      <w:pPr>
        <w:pStyle w:val="ListBullet"/>
      </w:pPr>
      <w:r>
        <w:t>Fatigue: Borg-Skala Erschöpfung im Ruhezustand: 6–7/10. Morgens nach dem Aufwachen keine Erholung.</w:t>
      </w:r>
    </w:p>
    <w:p>
      <w:pPr>
        <w:pStyle w:val="ListBullet"/>
      </w:pPr>
      <w:r>
        <w:t>Kognition: Schwere Wortfindungsstörungen, kann keine zusammenhängenden Texte mehr lesen; Kochrezepte werden vergessen während der Ausführung.</w:t>
      </w:r>
    </w:p>
    <w:p>
      <w:pPr>
        <w:pStyle w:val="ListBullet"/>
      </w:pPr>
      <w:r>
        <w:t>Orthostatik: POTS-Symptomatik (Tachykardie beim Aufstehen, Schwindel, gelegentlich Präsynkopen) trotz Midodrin-Therapie weiterhin beeinträchtigend.</w:t>
      </w:r>
    </w:p>
    <w:p>
      <w:pPr>
        <w:pStyle w:val="ListBullet"/>
      </w:pPr>
      <w:r>
        <w:t>Schmerzen: Diffuse Myalgien und Arthralgien, NRS 4–6/10.</w:t>
      </w:r>
    </w:p>
    <w:p>
      <w:pPr>
        <w:jc w:val="left"/>
      </w:pPr>
      <w:r>
        <w:rPr>
          <w:b/>
        </w:rPr>
        <w:t>FunkcAP-Score (Functional Assessment of Chronic Illness Post-Covid):</w:t>
      </w:r>
      <w:r>
        <w:t xml:space="preserve"> Grad 3 von 4 (schwer)</w:t>
      </w:r>
    </w:p>
    <w:p>
      <w:pPr>
        <w:jc w:val="left"/>
      </w:pPr>
      <w:r>
        <w:t>Erläuterung Grad 3: Patient verbringt mehr als 50 % des Tages liegend oder ruhend; deutliche Einschränkung aller Alltagsaktivitäten; kein Erwerbsarbeitspensum möglich.</w:t>
      </w:r>
    </w:p>
    <w:p/>
    <w:p>
      <w:pPr>
        <w:pStyle w:val="Heading2"/>
      </w:pPr>
      <w:r>
        <w:rPr>
          <w:rFonts w:ascii="Times New Roman" w:hAnsi="Times New Roman"/>
        </w:rPr>
        <w:t>Klinischer Befund</w:t>
      </w:r>
    </w:p>
    <w:p>
      <w:pPr>
        <w:jc w:val="left"/>
      </w:pPr>
      <w:r>
        <w:rPr>
          <w:b/>
        </w:rPr>
        <w:t>Allgemeinzustand:</w:t>
      </w:r>
      <w:r>
        <w:t xml:space="preserve"> Reduziert, Patientin wirkt erschöpft und blass.</w:t>
      </w:r>
    </w:p>
    <w:p>
      <w:pPr>
        <w:jc w:val="left"/>
      </w:pPr>
      <w:r>
        <w:rPr>
          <w:b/>
        </w:rPr>
        <w:t>Körpergewicht:</w:t>
      </w:r>
      <w:r>
        <w:t xml:space="preserve"> 62 kg (BMI 23,1). Gewichtsverlust 4 kg seit Erstvorstellung.</w:t>
      </w:r>
    </w:p>
    <w:p>
      <w:pPr>
        <w:jc w:val="left"/>
      </w:pPr>
      <w:r>
        <w:rPr>
          <w:b/>
        </w:rPr>
        <w:t>Neurologisch:</w:t>
      </w:r>
      <w:r>
        <w:t xml:space="preserve"> Orientiert zu Person, Ort und Zeit. Konzentration deutlich eingeschränkt (Trail Making Test A: 92 s, Normwert &lt;60 s; TMT B: 240 s, Normwert &lt;120 s). Keine fokal-neurologischen Ausfälle.</w:t>
      </w:r>
    </w:p>
    <w:p>
      <w:pPr>
        <w:jc w:val="left"/>
      </w:pPr>
      <w:r>
        <w:rPr>
          <w:b/>
        </w:rPr>
        <w:t>Kardiovaskulär:</w:t>
      </w:r>
      <w:r>
        <w:t xml:space="preserve"> RR 105/65 mmHg im Liegen; 98/60 mmHg nach 2 min Stehen; HF-Anstieg von 62/min (Liegen) auf 118/min (Stehen nach 5 min). Kriterium für POTS erfüllt (HF-Anstieg &gt;30/min ohne Orthostase-Hypotonie).</w:t>
      </w:r>
    </w:p>
    <w:p>
      <w:pPr>
        <w:jc w:val="left"/>
      </w:pPr>
      <w:r>
        <w:rPr>
          <w:b/>
        </w:rPr>
        <w:t>Laborwerte (Auswahl, 12.11.2025):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Referenz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Ferritin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ng/mL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15–150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Erniedrigt (Eisenmangel)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Vitamin D (25-OH)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nmol/L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&lt;0,3 mg/L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NK-Zell-Funktion (FACS)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Erniedrigt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Hinweis Immunstörung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Autoantikörper (Beta-AR-AK)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 (1:160)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Pathologisch</w:t>
            </w:r>
          </w:p>
        </w:tc>
      </w:tr>
    </w:tbl>
    <w:p>
      <w:pPr>
        <w:jc w:val="left"/>
      </w:pPr>
      <w:r>
        <w:rPr>
          <w:i/>
        </w:rPr>
        <w:t>Anmerkung: Erhöhte Beta-adrenerge Autoantikörper sind ein Forschungsmarker, der bei ME/CFS-Patientinnen nach SARS-CoV-2-Infektion gehäuft nachgewiesen wird (Wallukat et al., 2021; Dotan et al., 2023).</w:t>
      </w:r>
    </w:p>
    <w:p/>
    <w:p>
      <w:pPr>
        <w:pStyle w:val="Heading2"/>
      </w:pPr>
      <w:r>
        <w:rPr>
          <w:rFonts w:ascii="Times New Roman" w:hAnsi="Times New Roman"/>
        </w:rPr>
        <w:t>Beurteilung und Therapieempfehlung</w:t>
      </w:r>
    </w:p>
    <w:p>
      <w:pPr>
        <w:jc w:val="left"/>
      </w:pPr>
      <w:r>
        <w:t xml:space="preserve">Frau Feldermann leidet an einer </w:t>
      </w:r>
      <w:r>
        <w:rPr>
          <w:b/>
        </w:rPr>
        <w:t>schweren Post-Covid-Erkrankung mit ME/CFS (Grad 3 nach FUNCAP)</w:t>
      </w:r>
      <w:r>
        <w:t>, ausgelöst durch eine SARS-CoV-2-Infektion im beruflichen Kontext im November 2021. Der Verlauf über vier Jahre ohne Besserungstendenz entspricht dem typischen Muster einer schweren ME/CFS-Erkrankung.</w:t>
      </w:r>
    </w:p>
    <w:p>
      <w:pPr>
        <w:jc w:val="left"/>
      </w:pPr>
      <w:r>
        <w:rPr>
          <w:b/>
        </w:rPr>
        <w:t>Kausalitätsaussage:</w:t>
      </w:r>
      <w:r>
        <w:t xml:space="preserve"> Nach unserem Kenntnisstand und nach den aktuellen Kriterien der S3-Leitlinie Post-COVID/Long-COVID (AWMF 020-027, Dezember 2023) besteht ein ursächlicher Zusammenhang zwischen der SARS-CoV-2-Infektion 11/2021 und der heutigen Erkrankung. Hinweise auf eine anderweitige Ätiologie liegen nicht vor.</w:t>
      </w:r>
    </w:p>
    <w:p>
      <w:pPr>
        <w:jc w:val="left"/>
      </w:pPr>
      <w:r>
        <w:rPr>
          <w:b/>
        </w:rPr>
        <w:t>Erwerbsfähigkeit:</w:t>
      </w:r>
      <w:r>
        <w:t xml:space="preserve"> Aus unserer fachärztlichen Sicht ist Frau Feldermann zum gegenwärtigen Zeitpunkt und auf nicht absehbare Zeit </w:t>
      </w:r>
      <w:r>
        <w:rPr>
          <w:b/>
        </w:rPr>
        <w:t>nicht erwerbsfähig</w:t>
      </w:r>
      <w:r>
        <w:t xml:space="preserve"> — weder im Pflegeberuf noch in einer leichten Tätigkeit auf dem allgemeinen Arbeitsmarkt. Die Post-Exertional Malaise verhindert jede verlässliche Arbeitsleistung über 1–2 Stunden auch an "guten" Tagen.</w:t>
      </w:r>
    </w:p>
    <w:p>
      <w:pPr>
        <w:jc w:val="left"/>
      </w:pPr>
      <w:r>
        <w:rPr>
          <w:b/>
        </w:rPr>
        <w:t>Therapiemaßnahmen fortführen:</w:t>
      </w:r>
    </w:p>
    <w:p>
      <w:pPr>
        <w:pStyle w:val="ListBullet"/>
      </w:pPr>
      <w:r>
        <w:t>Pacing-Training (Energiereservenmanagement) — kein GET (Graded Exercise Training, kontraindiziert bei ME/CFS)</w:t>
      </w:r>
    </w:p>
    <w:p>
      <w:pPr>
        <w:pStyle w:val="ListBullet"/>
      </w:pPr>
      <w:r>
        <w:t>Midodrin 5 mg 3× tägl. (POTS)</w:t>
      </w:r>
    </w:p>
    <w:p>
      <w:pPr>
        <w:pStyle w:val="ListBullet"/>
      </w:pPr>
      <w:r>
        <w:t>Eisensupplementation i. v. (Ferritin-Mangel)</w:t>
      </w:r>
    </w:p>
    <w:p>
      <w:pPr>
        <w:pStyle w:val="ListBullet"/>
      </w:pPr>
      <w:r>
        <w:t>Vitamin D 4.000 IE tägl.</w:t>
      </w:r>
    </w:p>
    <w:p>
      <w:pPr>
        <w:pStyle w:val="ListBullet"/>
      </w:pPr>
      <w:r>
        <w:t>Psychiatrische Weiterbehandlung SKH Leipzig (F33.1)</w:t>
      </w:r>
    </w:p>
    <w:p>
      <w:pPr>
        <w:jc w:val="left"/>
      </w:pPr>
      <w:r>
        <w:rPr>
          <w:b/>
        </w:rPr>
        <w:t>Nächste Vorstellung:</w:t>
      </w:r>
      <w:r>
        <w:t xml:space="preserve"> geplant 06/2026</w:t>
      </w:r>
    </w:p>
    <w:p/>
    <w:p>
      <w:pPr>
        <w:jc w:val="left"/>
      </w:pPr>
      <w:r>
        <w:t>Prof. Dr. med. Carmen Scheibenbogen</w:t>
      </w:r>
    </w:p>
    <w:p>
      <w:pPr>
        <w:jc w:val="left"/>
      </w:pPr>
      <w:r>
        <w:t>Fachärztin für Innere Medizin, Hämatologie und Onkologie</w:t>
      </w:r>
    </w:p>
    <w:p>
      <w:pPr>
        <w:jc w:val="left"/>
      </w:pPr>
      <w:r>
        <w:t>Leiterin Fatigue-Centrum, Charité Berlin</w:t>
      </w:r>
    </w:p>
    <w:p>
      <w:pPr>
        <w:jc w:val="left"/>
      </w:pPr>
      <w:r>
        <w:t>12.11.2025</w:t>
      </w:r>
    </w:p>
    <w:p/>
    <w:p>
      <w:pPr>
        <w:jc w:val="left"/>
      </w:pPr>
      <w:r>
        <w:rPr>
          <w:i/>
        </w:rPr>
        <w:t>Kopie in Kanzleiakte: Aktenstück 15</w:t>
      </w:r>
    </w:p>
    <w:p>
      <w:pPr>
        <w:jc w:val="left"/>
      </w:pPr>
      <w:r>
        <w:rPr>
          <w:i/>
        </w:rPr>
        <w:t>Original bei Mandantin Feldermann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