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Luftrechtsakte: Airline-Krise, Flugzeugpfandrecht, LBA, Flughafen-Slot, LuftSiG, Pfändung und Leasing-Closing.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