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Entscheidungsvorlage</w:t>
      </w:r>
    </w:p>
    <w:p>
      <w:pPr>
        <w:pStyle w:val="Heading2"/>
      </w:pPr>
      <w:r>
        <w:rPr>
          <w:rFonts w:ascii="Times New Roman" w:hAnsi="Times New Roman"/>
        </w:rPr>
        <w:t>Entscheidungsvorschlag</w:t>
      </w:r>
    </w:p>
    <w:p>
      <w:pPr>
        <w:jc w:val="left"/>
      </w:pPr>
      <w:r>
        <w:t>Die Akte Luftrecht Airline-Insolvenz und Flugzeugpfand wird auf Eskalationsstufe Gelb gesetzt. Es besteht noch keine endgültige Prozessreife, aber genügend Substanz für ein präzises Nachforderungsschreiben und eine parallele Rechtsbehelfsvorbereitung.</w:t>
      </w:r>
    </w:p>
    <w:p>
      <w:pPr>
        <w:pStyle w:val="Heading2"/>
      </w:pPr>
      <w:r>
        <w:rPr>
          <w:rFonts w:ascii="Times New Roman" w:hAnsi="Times New Roman"/>
        </w:rPr>
        <w:t>Was sofort zu tun ist</w:t>
      </w:r>
    </w:p>
    <w:p>
      <w:pPr>
        <w:pStyle w:val="ListNumber"/>
      </w:pPr>
      <w:r>
        <w:t>Fristen aus Bescheiden, Schreiben, E-Mails und Protokollen in einen Kalender übertragen.</w:t>
      </w:r>
    </w:p>
    <w:p>
      <w:pPr>
        <w:pStyle w:val="ListNumber"/>
      </w:pPr>
      <w:r>
        <w:t>Alle Aussagen, die bislang nur als Behauptung erscheinen, mit einem Belegstatus versehen.</w:t>
      </w:r>
    </w:p>
    <w:p>
      <w:pPr>
        <w:pStyle w:val="ListNumber"/>
      </w:pPr>
      <w:r>
        <w:t>Die Rechtsgrundlagen aus LuftVG, LuftVZO, Montrealer Übereinkommen, Cape-Town-System, Pfand- und Registerfragen, Flughafenentgelte, Insolvenzrecht und LBA-Aufsicht in eine Prüfungsmatrix überführen.</w:t>
      </w:r>
    </w:p>
    <w:p>
      <w:pPr>
        <w:pStyle w:val="ListNumber"/>
      </w:pPr>
      <w:r>
        <w:t>Zuständigkeit und richtige Verfahrensart verifizieren.</w:t>
      </w:r>
    </w:p>
    <w:p>
      <w:pPr>
        <w:pStyle w:val="ListNumber"/>
      </w:pPr>
      <w:r>
        <w:t>Eine knappe Mandanteninformation erstellen, die Optionen, Kostenrisiko und nächsten Schritt erklärt.</w:t>
      </w:r>
    </w:p>
    <w:p>
      <w:pPr>
        <w:pStyle w:val="Heading2"/>
      </w:pPr>
      <w:r>
        <w:rPr>
          <w:rFonts w:ascii="Times New Roman" w:hAnsi="Times New Roman"/>
        </w:rPr>
        <w:t>Red-Team-Fragen</w:t>
      </w:r>
    </w:p>
    <w:p>
      <w:pPr>
        <w:jc w:val="left"/>
      </w:pPr>
      <w:r>
        <w:t>Was wäre, wenn die Behörde oder Gegenseite formal zuständig ist, aber den Sachverhalt falsch ermittelt hat? Was wäre, wenn der richtige Rechtsbehelf nicht der intuitiv naheliegende ist? Was wäre, wenn die Akte ein Fristproblem verdeckt, weil ein Schreiben als bloße Information wirkt, tatsächlich aber eine Rechtsmittelfrist auslöst? Was wäre, wenn die wirtschaftlich beste Lösung nicht der maximale Streit, sondern eine kontrollierte Nachbesserung ist?</w:t>
      </w:r>
    </w:p>
    <w:p>
      <w:pPr>
        <w:pStyle w:val="Heading2"/>
      </w:pPr>
      <w:r>
        <w:rPr>
          <w:rFonts w:ascii="Times New Roman" w:hAnsi="Times New Roman"/>
        </w:rPr>
        <w:t>Ergebnis</w:t>
      </w:r>
    </w:p>
    <w:p>
      <w:pPr>
        <w:jc w:val="left"/>
      </w:pPr>
      <w:r>
        <w:t>Die Akte verlangt eine geordnete Auswertung von Dokumentenstand, Normzuordnung, Beweisdisziplin, Fristenkontrolle und taktischer Kommunikation. Eine belastbare Entscheidungsvorlage darf die offenen Punkte nicht glätten, sondern muss sie nach Verfahrensrisiko, Beweiszugang und Eilbedürftigkeit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