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Eigenantrag auf Eröffnung des Insolvenzverfahrens</w:t>
      </w:r>
    </w:p>
    <w:p>
      <w:pPr>
        <w:jc w:val="left"/>
      </w:pPr>
      <w:r>
        <w:rPr>
          <w:b/>
        </w:rPr>
        <w:t>Florian Weber</w:t>
      </w:r>
    </w:p>
    <w:p>
      <w:pPr>
        <w:jc w:val="left"/>
      </w:pPr>
      <w:r>
        <w:t>Geschäftsführer der LUMEN Studios GmbH</w:t>
      </w:r>
    </w:p>
    <w:p>
      <w:pPr>
        <w:jc w:val="left"/>
      </w:pPr>
      <w:r>
        <w:t>Goethestraße 18 · 60313 Frankfurt am Main</w:t>
      </w:r>
    </w:p>
    <w:p>
      <w:pPr>
        <w:jc w:val="left"/>
      </w:pPr>
      <w:r>
        <w:t>geboren 12.11.1991 · Wohnsitz Offenbach am Main, Hauptstraße 142</w:t>
      </w:r>
    </w:p>
    <w:p>
      <w:pPr>
        <w:jc w:val="left"/>
      </w:pPr>
      <w:r>
        <w:t>An das Amtsgericht Frankfurt am Main</w:t>
      </w:r>
    </w:p>
    <w:p>
      <w:pPr>
        <w:jc w:val="left"/>
      </w:pPr>
      <w:r>
        <w:t>— Insolvenzabteilung —</w:t>
      </w:r>
    </w:p>
    <w:p>
      <w:pPr>
        <w:jc w:val="left"/>
      </w:pPr>
      <w:r>
        <w:t>Klingerstraße 20</w:t>
      </w:r>
    </w:p>
    <w:p>
      <w:pPr>
        <w:jc w:val="left"/>
      </w:pPr>
      <w:r>
        <w:t>60313 Frankfurt am Main</w:t>
      </w:r>
    </w:p>
    <w:p>
      <w:pPr>
        <w:jc w:val="left"/>
      </w:pPr>
      <w:r>
        <w:t>Frankfurt am Main, den 22. Mai 2024 — eingegangen 22.05.2024, 11:14 Uhr (Stempel)</w:t>
      </w:r>
    </w:p>
    <w:p/>
    <w:p>
      <w:pPr>
        <w:pStyle w:val="Heading2"/>
      </w:pPr>
      <w:r>
        <w:rPr>
          <w:rFonts w:ascii="Times New Roman" w:hAnsi="Times New Roman"/>
        </w:rPr>
        <w:t>Antrag</w:t>
      </w:r>
    </w:p>
    <w:p>
      <w:pPr>
        <w:jc w:val="left"/>
      </w:pPr>
      <w:r>
        <w:t>In meiner Eigenschaft als Geschäftsführer der</w:t>
      </w:r>
    </w:p>
    <w:p>
      <w:pPr>
        <w:jc w:val="left"/>
      </w:pPr>
      <w:r>
        <w:rPr>
          <w:b/>
        </w:rPr>
        <w:t>LUMEN Studios GmbH</w:t>
      </w:r>
    </w:p>
    <w:p>
      <w:pPr>
        <w:jc w:val="left"/>
      </w:pPr>
      <w:r>
        <w:t>Goethestraße 18, 60313 Frankfurt am Main</w:t>
      </w:r>
    </w:p>
    <w:p>
      <w:pPr>
        <w:jc w:val="left"/>
      </w:pPr>
      <w:r>
        <w:t>HRB 119845 (Amtsgericht Frankfurt am Main)</w:t>
      </w:r>
    </w:p>
    <w:p>
      <w:pPr>
        <w:jc w:val="left"/>
      </w:pPr>
      <w:r>
        <w:t>StNr 045/827/3247-K1</w:t>
      </w:r>
    </w:p>
    <w:p>
      <w:pPr>
        <w:jc w:val="left"/>
      </w:pPr>
      <w:r>
        <w:t>stelle ich hiermit</w:t>
      </w:r>
    </w:p>
    <w:p>
      <w:pPr>
        <w:jc w:val="left"/>
      </w:pPr>
      <w:r>
        <w:rPr>
          <w:b/>
        </w:rPr>
        <w:t>Antrag auf Eröffnung des Insolvenzverfahrens über das Vermögen der Gesellschaft</w:t>
      </w:r>
    </w:p>
    <w:p>
      <w:pPr>
        <w:jc w:val="left"/>
      </w:pPr>
      <w:r>
        <w:t>und führe an:</w:t>
      </w:r>
    </w:p>
    <w:p>
      <w:pPr>
        <w:pStyle w:val="Heading2"/>
      </w:pPr>
      <w:r>
        <w:rPr>
          <w:rFonts w:ascii="Times New Roman" w:hAnsi="Times New Roman"/>
        </w:rPr>
        <w:t>I. Insolvenzgründe</w:t>
      </w:r>
    </w:p>
    <w:p>
      <w:pPr>
        <w:pStyle w:val="Heading3"/>
      </w:pPr>
      <w:r>
        <w:rPr>
          <w:rFonts w:ascii="Times New Roman" w:hAnsi="Times New Roman"/>
        </w:rPr>
        <w:t>1. Zahlungsunfähigkeit (§ 17 InsO)</w:t>
      </w:r>
    </w:p>
    <w:p>
      <w:pPr>
        <w:jc w:val="left"/>
      </w:pPr>
      <w:r>
        <w:t>Die Gesellschaft ist zahlungsunfähig im Sinne von § 17 InsO. Stand 22.05.2024 bestehen fällige und nicht bediente Verbindlichkeiten in Höhe von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Gläubiger</w:t>
            </w:r>
          </w:p>
        </w:tc>
        <w:tc>
          <w:tcPr>
            <w:tcW w:type="dxa" w:w="3024"/>
          </w:tcPr>
          <w:p>
            <w:r>
              <w:rPr>
                <w:rFonts w:ascii="Times New Roman" w:hAnsi="Times New Roman"/>
                <w:b/>
                <w:sz w:val="20"/>
              </w:rPr>
              <w:t>Betrag (EUR)</w:t>
            </w:r>
          </w:p>
        </w:tc>
        <w:tc>
          <w:tcPr>
            <w:tcW w:type="dxa" w:w="3024"/>
          </w:tcPr>
          <w:p>
            <w:r>
              <w:rPr>
                <w:rFonts w:ascii="Times New Roman" w:hAnsi="Times New Roman"/>
                <w:b/>
                <w:sz w:val="20"/>
              </w:rPr>
              <w:t>Fälligkeit</w:t>
            </w:r>
          </w:p>
        </w:tc>
      </w:tr>
      <w:tr>
        <w:tc>
          <w:tcPr>
            <w:tcW w:type="dxa" w:w="3024"/>
          </w:tcPr>
          <w:p>
            <w:r>
              <w:rPr>
                <w:rFonts w:ascii="Times New Roman" w:hAnsi="Times New Roman"/>
                <w:sz w:val="20"/>
              </w:rPr>
              <w:t>Finanzamt Frankfurt am Main I (Umsatzsteuer-Vorauszahlungen Februar/März/April 2024)</w:t>
            </w:r>
          </w:p>
        </w:tc>
        <w:tc>
          <w:tcPr>
            <w:tcW w:type="dxa" w:w="3024"/>
          </w:tcPr>
          <w:p>
            <w:r>
              <w:rPr>
                <w:rFonts w:ascii="Times New Roman" w:hAnsi="Times New Roman"/>
                <w:sz w:val="20"/>
              </w:rPr>
              <w:t>38.420,00</w:t>
            </w:r>
          </w:p>
        </w:tc>
        <w:tc>
          <w:tcPr>
            <w:tcW w:type="dxa" w:w="3024"/>
          </w:tcPr>
          <w:p>
            <w:r>
              <w:rPr>
                <w:rFonts w:ascii="Times New Roman" w:hAnsi="Times New Roman"/>
                <w:sz w:val="20"/>
              </w:rPr>
              <w:t>10.04. / 10.05. / fortlaufend</w:t>
            </w:r>
          </w:p>
        </w:tc>
      </w:tr>
      <w:tr>
        <w:tc>
          <w:tcPr>
            <w:tcW w:type="dxa" w:w="3024"/>
          </w:tcPr>
          <w:p>
            <w:r>
              <w:rPr>
                <w:rFonts w:ascii="Times New Roman" w:hAnsi="Times New Roman"/>
                <w:sz w:val="20"/>
              </w:rPr>
              <w:t>Krankenkassen (TK, BARMER, DAK-Gesundheit; SV-Beiträge Q1+Q2 2024)</w:t>
            </w:r>
          </w:p>
        </w:tc>
        <w:tc>
          <w:tcPr>
            <w:tcW w:type="dxa" w:w="3024"/>
          </w:tcPr>
          <w:p>
            <w:r>
              <w:rPr>
                <w:rFonts w:ascii="Times New Roman" w:hAnsi="Times New Roman"/>
                <w:sz w:val="20"/>
              </w:rPr>
              <w:t>27.640,00</w:t>
            </w:r>
          </w:p>
        </w:tc>
        <w:tc>
          <w:tcPr>
            <w:tcW w:type="dxa" w:w="3024"/>
          </w:tcPr>
          <w:p>
            <w:r>
              <w:rPr>
                <w:rFonts w:ascii="Times New Roman" w:hAnsi="Times New Roman"/>
                <w:sz w:val="20"/>
              </w:rPr>
              <w:t>jeweils Drittletzter Bankarbeitstag</w:t>
            </w:r>
          </w:p>
        </w:tc>
      </w:tr>
      <w:tr>
        <w:tc>
          <w:tcPr>
            <w:tcW w:type="dxa" w:w="3024"/>
          </w:tcPr>
          <w:p>
            <w:r>
              <w:rPr>
                <w:rFonts w:ascii="Times New Roman" w:hAnsi="Times New Roman"/>
                <w:sz w:val="20"/>
              </w:rPr>
              <w:t>Bouygues Energies &amp; Services Deutschland GmbH (Stromrechnung Q1 2024)</w:t>
            </w:r>
          </w:p>
        </w:tc>
        <w:tc>
          <w:tcPr>
            <w:tcW w:type="dxa" w:w="3024"/>
          </w:tcPr>
          <w:p>
            <w:r>
              <w:rPr>
                <w:rFonts w:ascii="Times New Roman" w:hAnsi="Times New Roman"/>
                <w:sz w:val="20"/>
              </w:rPr>
              <w:t>4.218,00</w:t>
            </w:r>
          </w:p>
        </w:tc>
        <w:tc>
          <w:tcPr>
            <w:tcW w:type="dxa" w:w="3024"/>
          </w:tcPr>
          <w:p>
            <w:r>
              <w:rPr>
                <w:rFonts w:ascii="Times New Roman" w:hAnsi="Times New Roman"/>
                <w:sz w:val="20"/>
              </w:rPr>
              <w:t>18.04.2024</w:t>
            </w:r>
          </w:p>
        </w:tc>
      </w:tr>
      <w:tr>
        <w:tc>
          <w:tcPr>
            <w:tcW w:type="dxa" w:w="3024"/>
          </w:tcPr>
          <w:p>
            <w:r>
              <w:rPr>
                <w:rFonts w:ascii="Times New Roman" w:hAnsi="Times New Roman"/>
                <w:sz w:val="20"/>
              </w:rPr>
              <w:t>Sparkasse Frankfurt — Kontokorrent-Überziehung</w:t>
            </w:r>
          </w:p>
        </w:tc>
        <w:tc>
          <w:tcPr>
            <w:tcW w:type="dxa" w:w="3024"/>
          </w:tcPr>
          <w:p>
            <w:r>
              <w:rPr>
                <w:rFonts w:ascii="Times New Roman" w:hAnsi="Times New Roman"/>
                <w:sz w:val="20"/>
              </w:rPr>
              <w:t>31.480,00</w:t>
            </w:r>
          </w:p>
        </w:tc>
        <w:tc>
          <w:tcPr>
            <w:tcW w:type="dxa" w:w="3024"/>
          </w:tcPr>
          <w:p>
            <w:r>
              <w:rPr>
                <w:rFonts w:ascii="Times New Roman" w:hAnsi="Times New Roman"/>
                <w:sz w:val="20"/>
              </w:rPr>
              <w:t>sofortig fällig</w:t>
            </w:r>
          </w:p>
        </w:tc>
      </w:tr>
      <w:tr>
        <w:tc>
          <w:tcPr>
            <w:tcW w:type="dxa" w:w="3024"/>
          </w:tcPr>
          <w:p>
            <w:r>
              <w:rPr>
                <w:rFonts w:ascii="Times New Roman" w:hAnsi="Times New Roman"/>
                <w:sz w:val="20"/>
              </w:rPr>
              <w:t>Lieferanten (vier verschiedene, Beträge zwischen EUR 1.840 und EUR 8.420)</w:t>
            </w:r>
          </w:p>
        </w:tc>
        <w:tc>
          <w:tcPr>
            <w:tcW w:type="dxa" w:w="3024"/>
          </w:tcPr>
          <w:p>
            <w:r>
              <w:rPr>
                <w:rFonts w:ascii="Times New Roman" w:hAnsi="Times New Roman"/>
                <w:sz w:val="20"/>
              </w:rPr>
              <w:t>18.987,00</w:t>
            </w:r>
          </w:p>
        </w:tc>
        <w:tc>
          <w:tcPr>
            <w:tcW w:type="dxa" w:w="3024"/>
          </w:tcPr>
          <w:p>
            <w:r>
              <w:rPr>
                <w:rFonts w:ascii="Times New Roman" w:hAnsi="Times New Roman"/>
                <w:sz w:val="20"/>
              </w:rPr>
              <w:t>div. zwischen 03/2024 und 05/2024</w:t>
            </w:r>
          </w:p>
        </w:tc>
      </w:tr>
      <w:tr>
        <w:tc>
          <w:tcPr>
            <w:tcW w:type="dxa" w:w="3024"/>
          </w:tcPr>
          <w:p>
            <w:r>
              <w:rPr>
                <w:rFonts w:ascii="Times New Roman" w:hAnsi="Times New Roman"/>
                <w:sz w:val="20"/>
              </w:rPr>
              <w:t>Miete Goethestraße 18 (April und Mai 2024)</w:t>
            </w:r>
          </w:p>
        </w:tc>
        <w:tc>
          <w:tcPr>
            <w:tcW w:type="dxa" w:w="3024"/>
          </w:tcPr>
          <w:p>
            <w:r>
              <w:rPr>
                <w:rFonts w:ascii="Times New Roman" w:hAnsi="Times New Roman"/>
                <w:sz w:val="20"/>
              </w:rPr>
              <w:t>9.600,00</w:t>
            </w:r>
          </w:p>
        </w:tc>
        <w:tc>
          <w:tcPr>
            <w:tcW w:type="dxa" w:w="3024"/>
          </w:tcPr>
          <w:p>
            <w:r>
              <w:rPr>
                <w:rFonts w:ascii="Times New Roman" w:hAnsi="Times New Roman"/>
                <w:sz w:val="20"/>
              </w:rPr>
              <w:t>03.04. / 03.05.2024</w:t>
            </w:r>
          </w:p>
        </w:tc>
      </w:tr>
      <w:tr>
        <w:tc>
          <w:tcPr>
            <w:tcW w:type="dxa" w:w="3024"/>
          </w:tcPr>
          <w:p>
            <w:r>
              <w:rPr>
                <w:rFonts w:ascii="Times New Roman" w:hAnsi="Times New Roman"/>
                <w:sz w:val="20"/>
              </w:rPr>
              <w:t>Honorar Freelance-Mitarbeiter (Lohnauszahlung April-Resthonorare, fünf Personen)</w:t>
            </w:r>
          </w:p>
        </w:tc>
        <w:tc>
          <w:tcPr>
            <w:tcW w:type="dxa" w:w="3024"/>
          </w:tcPr>
          <w:p>
            <w:r>
              <w:rPr>
                <w:rFonts w:ascii="Times New Roman" w:hAnsi="Times New Roman"/>
                <w:sz w:val="20"/>
              </w:rPr>
              <w:t>12.840,00</w:t>
            </w:r>
          </w:p>
        </w:tc>
        <w:tc>
          <w:tcPr>
            <w:tcW w:type="dxa" w:w="3024"/>
          </w:tcPr>
          <w:p>
            <w:r>
              <w:rPr>
                <w:rFonts w:ascii="Times New Roman" w:hAnsi="Times New Roman"/>
                <w:sz w:val="20"/>
              </w:rPr>
              <w:t>30.04.2024</w:t>
            </w:r>
          </w:p>
        </w:tc>
      </w:tr>
      <w:tr>
        <w:tc>
          <w:tcPr>
            <w:tcW w:type="dxa" w:w="3024"/>
          </w:tcPr>
          <w:p>
            <w:r>
              <w:rPr>
                <w:rFonts w:ascii="Times New Roman" w:hAnsi="Times New Roman"/>
                <w:b/>
                <w:sz w:val="20"/>
              </w:rPr>
              <w:t>Summe fällige Verbindlichkeiten</w:t>
            </w:r>
          </w:p>
        </w:tc>
        <w:tc>
          <w:tcPr>
            <w:tcW w:type="dxa" w:w="3024"/>
          </w:tcPr>
          <w:p>
            <w:r>
              <w:rPr>
                <w:rFonts w:ascii="Times New Roman" w:hAnsi="Times New Roman"/>
                <w:b/>
                <w:sz w:val="20"/>
              </w:rPr>
              <w:t>143.185,00</w:t>
            </w:r>
          </w:p>
        </w:tc>
        <w:tc>
          <w:tcPr>
            <w:tcW w:type="dxa" w:w="3024"/>
          </w:tcPr>
          <w:p/>
        </w:tc>
      </w:tr>
    </w:tbl>
    <w:p>
      <w:pPr>
        <w:jc w:val="left"/>
      </w:pPr>
      <w:r>
        <w:t>Verfügbare flüssige Mittel zum 22.05.2024: EUR 5.482,33 (Geschäftskonto Sparkasse Frankfurt; vier zusätzliche Verfahrenskonten leerstehend).</w:t>
      </w:r>
    </w:p>
    <w:p>
      <w:pPr>
        <w:jc w:val="left"/>
      </w:pPr>
      <w:r>
        <w:t>Damit liegt eine Liquiditätslücke iHv mehr als 96 Prozent vor; die gesetzliche Drei-Wochen-Frist ist überschritten. Die Zahlungsunfähigkeit ist seit spätestens 30.04.2024 eingetreten.</w:t>
      </w:r>
    </w:p>
    <w:p>
      <w:pPr>
        <w:pStyle w:val="Heading3"/>
      </w:pPr>
      <w:r>
        <w:rPr>
          <w:rFonts w:ascii="Times New Roman" w:hAnsi="Times New Roman"/>
        </w:rPr>
        <w:t>2. Überschuldung (§ 19 InsO)</w:t>
      </w:r>
    </w:p>
    <w:p>
      <w:pPr>
        <w:jc w:val="left"/>
      </w:pPr>
      <w:r>
        <w:t>Eine bilanzielle Überschuldung ist absehbar. Die zuletzt erstellte Bilanz zum 31.12.2022 weist ein Eigenkapital von EUR 18.247 aus. Die Buchhaltung ab Q4 2023 ist nicht vollständig fortgeführt (siehe Ziffer III). Eine seriöse Fortbestehensprognose nach IDW S 11 ist nach derzeitigem Stand mangels belastbarer Daten nicht zu erstellen.</w:t>
      </w:r>
    </w:p>
    <w:p>
      <w:pPr>
        <w:jc w:val="left"/>
      </w:pPr>
      <w:r>
        <w:t>Die Antragspflicht gemäß § 15a InsO ist daher nicht nur wegen Zahlungsunfähigkeit, sondern auch im Hinblick auf eine drohende Überschuldung ausgelöst.</w:t>
      </w:r>
    </w:p>
    <w:p>
      <w:pPr>
        <w:pStyle w:val="Heading3"/>
      </w:pPr>
      <w:r>
        <w:rPr>
          <w:rFonts w:ascii="Times New Roman" w:hAnsi="Times New Roman"/>
        </w:rPr>
        <w:t>3. Subjektives Element</w:t>
      </w:r>
    </w:p>
    <w:p>
      <w:pPr>
        <w:jc w:val="left"/>
      </w:pPr>
      <w:r>
        <w:t>Mir, dem unterzeichnenden Geschäftsführer, ist die Zahlungsunfähigkeit seit Anfang Mai 2024 bekannt. Mehrere Versuche, mit dem Mitgeschäftsführer Herrn Sebastian Richter eine außergerichtliche Sanierung zu vereinbaren (Bankgespräche bei der Sparkasse Frankfurt 02.05.2024 und 15.05.2024, Steuerberatergespräch 08.05.2024), sind erfolglos geblieben. Herr Richter weigert sich, dem Insolvenzantrag zuzustimmen, und hat angekündigt, dass er privat versuchen wolle, "Geld aufzutreiben".</w:t>
      </w:r>
    </w:p>
    <w:p>
      <w:pPr>
        <w:jc w:val="left"/>
      </w:pPr>
      <w:r>
        <w:t>Da gemäß § 15 Abs. 1 Satz 2 InsO jeder Geschäftsführer einzeln antragspflichtig ist, stelle ich diesen Antrag in eigener Verantwortung.</w:t>
      </w:r>
    </w:p>
    <w:p>
      <w:pPr>
        <w:pStyle w:val="Heading2"/>
      </w:pPr>
      <w:r>
        <w:rPr>
          <w:rFonts w:ascii="Times New Roman" w:hAnsi="Times New Roman"/>
        </w:rPr>
        <w:t>II. Angaben zur Schuldnerin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Firma</w:t>
            </w:r>
          </w:p>
        </w:tc>
        <w:tc>
          <w:tcPr>
            <w:tcW w:type="dxa" w:w="4536"/>
          </w:tcPr>
          <w:p>
            <w:r>
              <w:rPr>
                <w:rFonts w:ascii="Times New Roman" w:hAnsi="Times New Roman"/>
                <w:b/>
                <w:sz w:val="20"/>
              </w:rPr>
              <w:t>LUMEN Studios GmbH</w:t>
            </w:r>
          </w:p>
        </w:tc>
      </w:tr>
      <w:tr>
        <w:tc>
          <w:tcPr>
            <w:tcW w:type="dxa" w:w="4536"/>
          </w:tcPr>
          <w:p>
            <w:r>
              <w:rPr>
                <w:rFonts w:ascii="Times New Roman" w:hAnsi="Times New Roman"/>
                <w:sz w:val="20"/>
              </w:rPr>
              <w:t>Sitz</w:t>
            </w:r>
          </w:p>
        </w:tc>
        <w:tc>
          <w:tcPr>
            <w:tcW w:type="dxa" w:w="4536"/>
          </w:tcPr>
          <w:p>
            <w:r>
              <w:rPr>
                <w:rFonts w:ascii="Times New Roman" w:hAnsi="Times New Roman"/>
                <w:sz w:val="20"/>
              </w:rPr>
              <w:t>Frankfurt am Main</w:t>
            </w:r>
          </w:p>
        </w:tc>
      </w:tr>
      <w:tr>
        <w:tc>
          <w:tcPr>
            <w:tcW w:type="dxa" w:w="4536"/>
          </w:tcPr>
          <w:p>
            <w:r>
              <w:rPr>
                <w:rFonts w:ascii="Times New Roman" w:hAnsi="Times New Roman"/>
                <w:sz w:val="20"/>
              </w:rPr>
              <w:t>Geschäftsanschrift</w:t>
            </w:r>
          </w:p>
        </w:tc>
        <w:tc>
          <w:tcPr>
            <w:tcW w:type="dxa" w:w="4536"/>
          </w:tcPr>
          <w:p>
            <w:r>
              <w:rPr>
                <w:rFonts w:ascii="Times New Roman" w:hAnsi="Times New Roman"/>
                <w:sz w:val="20"/>
              </w:rPr>
              <w:t>Goethestraße 18, 60313 Frankfurt am Main</w:t>
            </w:r>
          </w:p>
        </w:tc>
      </w:tr>
      <w:tr>
        <w:tc>
          <w:tcPr>
            <w:tcW w:type="dxa" w:w="4536"/>
          </w:tcPr>
          <w:p>
            <w:r>
              <w:rPr>
                <w:rFonts w:ascii="Times New Roman" w:hAnsi="Times New Roman"/>
                <w:sz w:val="20"/>
              </w:rPr>
              <w:t>HRB</w:t>
            </w:r>
          </w:p>
        </w:tc>
        <w:tc>
          <w:tcPr>
            <w:tcW w:type="dxa" w:w="4536"/>
          </w:tcPr>
          <w:p>
            <w:r>
              <w:rPr>
                <w:rFonts w:ascii="Times New Roman" w:hAnsi="Times New Roman"/>
                <w:sz w:val="20"/>
              </w:rPr>
              <w:t>119845 (Amtsgericht Frankfurt am Main)</w:t>
            </w:r>
          </w:p>
        </w:tc>
      </w:tr>
      <w:tr>
        <w:tc>
          <w:tcPr>
            <w:tcW w:type="dxa" w:w="4536"/>
          </w:tcPr>
          <w:p>
            <w:r>
              <w:rPr>
                <w:rFonts w:ascii="Times New Roman" w:hAnsi="Times New Roman"/>
                <w:sz w:val="20"/>
              </w:rPr>
              <w:t>Stammkapital</w:t>
            </w:r>
          </w:p>
        </w:tc>
        <w:tc>
          <w:tcPr>
            <w:tcW w:type="dxa" w:w="4536"/>
          </w:tcPr>
          <w:p>
            <w:r>
              <w:rPr>
                <w:rFonts w:ascii="Times New Roman" w:hAnsi="Times New Roman"/>
                <w:sz w:val="20"/>
              </w:rPr>
              <w:t>EUR 25.000 (voll eingezahlt)</w:t>
            </w:r>
          </w:p>
        </w:tc>
      </w:tr>
      <w:tr>
        <w:tc>
          <w:tcPr>
            <w:tcW w:type="dxa" w:w="4536"/>
          </w:tcPr>
          <w:p>
            <w:r>
              <w:rPr>
                <w:rFonts w:ascii="Times New Roman" w:hAnsi="Times New Roman"/>
                <w:sz w:val="20"/>
              </w:rPr>
              <w:t>Gesellschafter</w:t>
            </w:r>
          </w:p>
        </w:tc>
        <w:tc>
          <w:tcPr>
            <w:tcW w:type="dxa" w:w="4536"/>
          </w:tcPr>
          <w:p>
            <w:r>
              <w:rPr>
                <w:rFonts w:ascii="Times New Roman" w:hAnsi="Times New Roman"/>
                <w:sz w:val="20"/>
              </w:rPr>
              <w:t>Sebastian Richter (55 %, GF) — Florian Weber (45 %, GF)</w:t>
            </w:r>
          </w:p>
        </w:tc>
      </w:tr>
      <w:tr>
        <w:tc>
          <w:tcPr>
            <w:tcW w:type="dxa" w:w="4536"/>
          </w:tcPr>
          <w:p>
            <w:r>
              <w:rPr>
                <w:rFonts w:ascii="Times New Roman" w:hAnsi="Times New Roman"/>
                <w:sz w:val="20"/>
              </w:rPr>
              <w:t>Gründung</w:t>
            </w:r>
          </w:p>
        </w:tc>
        <w:tc>
          <w:tcPr>
            <w:tcW w:type="dxa" w:w="4536"/>
          </w:tcPr>
          <w:p>
            <w:r>
              <w:rPr>
                <w:rFonts w:ascii="Times New Roman" w:hAnsi="Times New Roman"/>
                <w:sz w:val="20"/>
              </w:rPr>
              <w:t>08.03.2019</w:t>
            </w:r>
          </w:p>
        </w:tc>
      </w:tr>
      <w:tr>
        <w:tc>
          <w:tcPr>
            <w:tcW w:type="dxa" w:w="4536"/>
          </w:tcPr>
          <w:p>
            <w:r>
              <w:rPr>
                <w:rFonts w:ascii="Times New Roman" w:hAnsi="Times New Roman"/>
                <w:sz w:val="20"/>
              </w:rPr>
              <w:t>Geschäftsgegenstand</w:t>
            </w:r>
          </w:p>
        </w:tc>
        <w:tc>
          <w:tcPr>
            <w:tcW w:type="dxa" w:w="4536"/>
          </w:tcPr>
          <w:p>
            <w:r>
              <w:rPr>
                <w:rFonts w:ascii="Times New Roman" w:hAnsi="Times New Roman"/>
                <w:sz w:val="20"/>
              </w:rPr>
              <w:t>Produktion von Werbe- und Imagefilmen, Social-Media-Content, Kreativ-Dienstleistungen</w:t>
            </w:r>
          </w:p>
        </w:tc>
      </w:tr>
      <w:tr>
        <w:tc>
          <w:tcPr>
            <w:tcW w:type="dxa" w:w="4536"/>
          </w:tcPr>
          <w:p>
            <w:r>
              <w:rPr>
                <w:rFonts w:ascii="Times New Roman" w:hAnsi="Times New Roman"/>
                <w:sz w:val="20"/>
              </w:rPr>
              <w:t>Mitarbeiter</w:t>
            </w:r>
          </w:p>
        </w:tc>
        <w:tc>
          <w:tcPr>
            <w:tcW w:type="dxa" w:w="4536"/>
          </w:tcPr>
          <w:p>
            <w:r>
              <w:rPr>
                <w:rFonts w:ascii="Times New Roman" w:hAnsi="Times New Roman"/>
                <w:sz w:val="20"/>
              </w:rPr>
              <w:t>6 fest angestellt, ca. 12 fortlaufend tätige Freelancer</w:t>
            </w:r>
          </w:p>
        </w:tc>
      </w:tr>
      <w:tr>
        <w:tc>
          <w:tcPr>
            <w:tcW w:type="dxa" w:w="4536"/>
          </w:tcPr>
          <w:p>
            <w:r>
              <w:rPr>
                <w:rFonts w:ascii="Times New Roman" w:hAnsi="Times New Roman"/>
                <w:sz w:val="20"/>
              </w:rPr>
              <w:t>Wirtschaftsjahr</w:t>
            </w:r>
          </w:p>
        </w:tc>
        <w:tc>
          <w:tcPr>
            <w:tcW w:type="dxa" w:w="4536"/>
          </w:tcPr>
          <w:p>
            <w:r>
              <w:rPr>
                <w:rFonts w:ascii="Times New Roman" w:hAnsi="Times New Roman"/>
                <w:sz w:val="20"/>
              </w:rPr>
              <w:t>Kalenderjahr</w:t>
            </w:r>
          </w:p>
        </w:tc>
      </w:tr>
      <w:tr>
        <w:tc>
          <w:tcPr>
            <w:tcW w:type="dxa" w:w="4536"/>
          </w:tcPr>
          <w:p>
            <w:r>
              <w:rPr>
                <w:rFonts w:ascii="Times New Roman" w:hAnsi="Times New Roman"/>
                <w:sz w:val="20"/>
              </w:rPr>
              <w:t>Letzte Bilanz</w:t>
            </w:r>
          </w:p>
        </w:tc>
        <w:tc>
          <w:tcPr>
            <w:tcW w:type="dxa" w:w="4536"/>
          </w:tcPr>
          <w:p>
            <w:r>
              <w:rPr>
                <w:rFonts w:ascii="Times New Roman" w:hAnsi="Times New Roman"/>
                <w:sz w:val="20"/>
              </w:rPr>
              <w:t>31.12.2022 (testiert 18.09.2023 durch StB Hartmann)</w:t>
            </w:r>
          </w:p>
        </w:tc>
      </w:tr>
      <w:tr>
        <w:tc>
          <w:tcPr>
            <w:tcW w:type="dxa" w:w="4536"/>
          </w:tcPr>
          <w:p>
            <w:r>
              <w:rPr>
                <w:rFonts w:ascii="Times New Roman" w:hAnsi="Times New Roman"/>
                <w:sz w:val="20"/>
              </w:rPr>
              <w:t>Buchhaltung</w:t>
            </w:r>
          </w:p>
        </w:tc>
        <w:tc>
          <w:tcPr>
            <w:tcW w:type="dxa" w:w="4536"/>
          </w:tcPr>
          <w:p>
            <w:r>
              <w:rPr>
                <w:rFonts w:ascii="Times New Roman" w:hAnsi="Times New Roman"/>
                <w:sz w:val="20"/>
              </w:rPr>
              <w:t>bis Q3 2023 vollständig; Q4 2023 und 2024 lückenhaft (siehe III)</w:t>
            </w:r>
          </w:p>
        </w:tc>
      </w:tr>
    </w:tbl>
    <w:p>
      <w:pPr>
        <w:pStyle w:val="Heading2"/>
      </w:pPr>
      <w:r>
        <w:rPr>
          <w:rFonts w:ascii="Times New Roman" w:hAnsi="Times New Roman"/>
        </w:rPr>
        <w:t>III. Buchhaltungs- und Aufzeichnungs-Lage</w:t>
      </w:r>
    </w:p>
    <w:p>
      <w:pPr>
        <w:jc w:val="left"/>
      </w:pPr>
      <w:r>
        <w:t>Bedauerlicherweise ist die Buchhaltung der Gesellschaft ab Oktober 2023 in zunehmend mangelhaftem Zustand. Ursachen:</w:t>
      </w:r>
    </w:p>
    <w:p>
      <w:pPr>
        <w:pStyle w:val="ListBullet"/>
      </w:pPr>
      <w:r>
        <w:t>Verlust des Mandats unseres bisherigen Steuerberaters StB Hartmann (Mandatsniederlegung 22.11.2023 mit der Begründung "erhebliche Diskrepanz Belege/Buchungen, fehlende Mitwirkung Geschäftsführung")</w:t>
      </w:r>
    </w:p>
    <w:p>
      <w:pPr>
        <w:pStyle w:val="ListBullet"/>
      </w:pPr>
      <w:r>
        <w:t>Anschluss-Mandat war geplant, kam aber wegen Streit mit Herrn Richter über Auswahl des Nachfolgers nicht zustande</w:t>
      </w:r>
    </w:p>
    <w:p>
      <w:pPr>
        <w:pStyle w:val="ListBullet"/>
      </w:pPr>
      <w:r>
        <w:t>Q4 2023 Buchungen nur teilweise erfasst; Jahresabschluss 2023 nicht fertig</w:t>
      </w:r>
    </w:p>
    <w:p>
      <w:pPr>
        <w:pStyle w:val="ListBullet"/>
      </w:pPr>
      <w:r>
        <w:t>2024 (Januar bis Mai) Buchungen praktisch nicht erfasst, lediglich Bankauszüge und Belegmappe vorhanden</w:t>
      </w:r>
    </w:p>
    <w:p>
      <w:pPr>
        <w:jc w:val="left"/>
      </w:pPr>
      <w:r>
        <w:t>Ich weise als Antragsteller darauf hin, dass die mangelhafte Buchhaltungslage strafbar sein könnte (§§ 283, 283b StGB). Da ich die operativen Buchhaltungs-Aufgaben ab Mai 2023 nahezu vollständig an Herrn Richter abgegeben habe (interne Aufgabenteilung gemäß Gesellschaftsvertrag § 8: Weber = Kreation/Produktion, Richter = Verwaltung/Finanzen), trifft mich der Vorwurf möglicher Pflichtverletzungen jedenfalls nicht in vollem Umfang. Ich werde der vorläufigen Insolvenzverwaltung uneingeschränkt kooperativ Auskunft erteilen.</w:t>
      </w:r>
    </w:p>
    <w:p>
      <w:pPr>
        <w:pStyle w:val="Heading2"/>
      </w:pPr>
      <w:r>
        <w:rPr>
          <w:rFonts w:ascii="Times New Roman" w:hAnsi="Times New Roman"/>
        </w:rPr>
        <w:t>IV. Anlagen (Beweismittel zum Eigenantrag)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Nr.</w:t>
            </w:r>
          </w:p>
        </w:tc>
        <w:tc>
          <w:tcPr>
            <w:tcW w:type="dxa" w:w="4536"/>
          </w:tcPr>
          <w:p>
            <w:r>
              <w:rPr>
                <w:rFonts w:ascii="Times New Roman" w:hAnsi="Times New Roman"/>
                <w:b/>
                <w:sz w:val="20"/>
              </w:rPr>
              <w:t>Bezeichnung</w:t>
            </w:r>
          </w:p>
        </w:tc>
      </w:tr>
      <w:tr>
        <w:tc>
          <w:tcPr>
            <w:tcW w:type="dxa" w:w="4536"/>
          </w:tcPr>
          <w:p>
            <w:r>
              <w:rPr>
                <w:rFonts w:ascii="Times New Roman" w:hAnsi="Times New Roman"/>
                <w:sz w:val="20"/>
              </w:rPr>
              <w:t>Anl. 1</w:t>
            </w:r>
          </w:p>
        </w:tc>
        <w:tc>
          <w:tcPr>
            <w:tcW w:type="dxa" w:w="4536"/>
          </w:tcPr>
          <w:p>
            <w:r>
              <w:rPr>
                <w:rFonts w:ascii="Times New Roman" w:hAnsi="Times New Roman"/>
                <w:sz w:val="20"/>
              </w:rPr>
              <w:t>Handelsregisterauszug HRB 119845 vom 21.05.2024</w:t>
            </w:r>
          </w:p>
        </w:tc>
      </w:tr>
      <w:tr>
        <w:tc>
          <w:tcPr>
            <w:tcW w:type="dxa" w:w="4536"/>
          </w:tcPr>
          <w:p>
            <w:r>
              <w:rPr>
                <w:rFonts w:ascii="Times New Roman" w:hAnsi="Times New Roman"/>
                <w:sz w:val="20"/>
              </w:rPr>
              <w:t>Anl. 2</w:t>
            </w:r>
          </w:p>
        </w:tc>
        <w:tc>
          <w:tcPr>
            <w:tcW w:type="dxa" w:w="4536"/>
          </w:tcPr>
          <w:p>
            <w:r>
              <w:rPr>
                <w:rFonts w:ascii="Times New Roman" w:hAnsi="Times New Roman"/>
                <w:sz w:val="20"/>
              </w:rPr>
              <w:t>Gesellschafterliste Stand 21.05.2024</w:t>
            </w:r>
          </w:p>
        </w:tc>
      </w:tr>
      <w:tr>
        <w:tc>
          <w:tcPr>
            <w:tcW w:type="dxa" w:w="4536"/>
          </w:tcPr>
          <w:p>
            <w:r>
              <w:rPr>
                <w:rFonts w:ascii="Times New Roman" w:hAnsi="Times New Roman"/>
                <w:sz w:val="20"/>
              </w:rPr>
              <w:t>Anl. 3</w:t>
            </w:r>
          </w:p>
        </w:tc>
        <w:tc>
          <w:tcPr>
            <w:tcW w:type="dxa" w:w="4536"/>
          </w:tcPr>
          <w:p>
            <w:r>
              <w:rPr>
                <w:rFonts w:ascii="Times New Roman" w:hAnsi="Times New Roman"/>
                <w:sz w:val="20"/>
              </w:rPr>
              <w:t>Gesellschaftsvertrag vom 08.03.2019, geänderte Fassung 14.07.2020</w:t>
            </w:r>
          </w:p>
        </w:tc>
      </w:tr>
      <w:tr>
        <w:tc>
          <w:tcPr>
            <w:tcW w:type="dxa" w:w="4536"/>
          </w:tcPr>
          <w:p>
            <w:r>
              <w:rPr>
                <w:rFonts w:ascii="Times New Roman" w:hAnsi="Times New Roman"/>
                <w:sz w:val="20"/>
              </w:rPr>
              <w:t>Anl. 4</w:t>
            </w:r>
          </w:p>
        </w:tc>
        <w:tc>
          <w:tcPr>
            <w:tcW w:type="dxa" w:w="4536"/>
          </w:tcPr>
          <w:p>
            <w:r>
              <w:rPr>
                <w:rFonts w:ascii="Times New Roman" w:hAnsi="Times New Roman"/>
                <w:sz w:val="20"/>
              </w:rPr>
              <w:t>Liquiditätsstatus zum 22.05.2024 (Excel + ausgedruckt)</w:t>
            </w:r>
          </w:p>
        </w:tc>
      </w:tr>
      <w:tr>
        <w:tc>
          <w:tcPr>
            <w:tcW w:type="dxa" w:w="4536"/>
          </w:tcPr>
          <w:p>
            <w:r>
              <w:rPr>
                <w:rFonts w:ascii="Times New Roman" w:hAnsi="Times New Roman"/>
                <w:sz w:val="20"/>
              </w:rPr>
              <w:t>Anl. 5</w:t>
            </w:r>
          </w:p>
        </w:tc>
        <w:tc>
          <w:tcPr>
            <w:tcW w:type="dxa" w:w="4536"/>
          </w:tcPr>
          <w:p>
            <w:r>
              <w:rPr>
                <w:rFonts w:ascii="Times New Roman" w:hAnsi="Times New Roman"/>
                <w:sz w:val="20"/>
              </w:rPr>
              <w:t>Schreiben Finanzamt Frankfurt I vom 12.05.2024 (Mahnung USt-Vorauszahlung April)</w:t>
            </w:r>
          </w:p>
        </w:tc>
      </w:tr>
      <w:tr>
        <w:tc>
          <w:tcPr>
            <w:tcW w:type="dxa" w:w="4536"/>
          </w:tcPr>
          <w:p>
            <w:r>
              <w:rPr>
                <w:rFonts w:ascii="Times New Roman" w:hAnsi="Times New Roman"/>
                <w:sz w:val="20"/>
              </w:rPr>
              <w:t>Anl. 6</w:t>
            </w:r>
          </w:p>
        </w:tc>
        <w:tc>
          <w:tcPr>
            <w:tcW w:type="dxa" w:w="4536"/>
          </w:tcPr>
          <w:p>
            <w:r>
              <w:rPr>
                <w:rFonts w:ascii="Times New Roman" w:hAnsi="Times New Roman"/>
                <w:sz w:val="20"/>
              </w:rPr>
              <w:t>Schreiben TK Krankenkasse vom 14.05.2024 (Mahnung SV-Beiträge)</w:t>
            </w:r>
          </w:p>
        </w:tc>
      </w:tr>
      <w:tr>
        <w:tc>
          <w:tcPr>
            <w:tcW w:type="dxa" w:w="4536"/>
          </w:tcPr>
          <w:p>
            <w:r>
              <w:rPr>
                <w:rFonts w:ascii="Times New Roman" w:hAnsi="Times New Roman"/>
                <w:sz w:val="20"/>
              </w:rPr>
              <w:t>Anl. 7</w:t>
            </w:r>
          </w:p>
        </w:tc>
        <w:tc>
          <w:tcPr>
            <w:tcW w:type="dxa" w:w="4536"/>
          </w:tcPr>
          <w:p>
            <w:r>
              <w:rPr>
                <w:rFonts w:ascii="Times New Roman" w:hAnsi="Times New Roman"/>
                <w:sz w:val="20"/>
              </w:rPr>
              <w:t>Kontoauszug Sparkasse Frankfurt 01.04.–22.05.2024</w:t>
            </w:r>
          </w:p>
        </w:tc>
      </w:tr>
      <w:tr>
        <w:tc>
          <w:tcPr>
            <w:tcW w:type="dxa" w:w="4536"/>
          </w:tcPr>
          <w:p>
            <w:r>
              <w:rPr>
                <w:rFonts w:ascii="Times New Roman" w:hAnsi="Times New Roman"/>
                <w:sz w:val="20"/>
              </w:rPr>
              <w:t>Anl. 8</w:t>
            </w:r>
          </w:p>
        </w:tc>
        <w:tc>
          <w:tcPr>
            <w:tcW w:type="dxa" w:w="4536"/>
          </w:tcPr>
          <w:p>
            <w:r>
              <w:rPr>
                <w:rFonts w:ascii="Times New Roman" w:hAnsi="Times New Roman"/>
                <w:sz w:val="20"/>
              </w:rPr>
              <w:t>Bilanz 31.12.2022 (testiert)</w:t>
            </w:r>
          </w:p>
        </w:tc>
      </w:tr>
      <w:tr>
        <w:tc>
          <w:tcPr>
            <w:tcW w:type="dxa" w:w="4536"/>
          </w:tcPr>
          <w:p>
            <w:r>
              <w:rPr>
                <w:rFonts w:ascii="Times New Roman" w:hAnsi="Times New Roman"/>
                <w:sz w:val="20"/>
              </w:rPr>
              <w:t>Anl. 9</w:t>
            </w:r>
          </w:p>
        </w:tc>
        <w:tc>
          <w:tcPr>
            <w:tcW w:type="dxa" w:w="4536"/>
          </w:tcPr>
          <w:p>
            <w:r>
              <w:rPr>
                <w:rFonts w:ascii="Times New Roman" w:hAnsi="Times New Roman"/>
                <w:sz w:val="20"/>
              </w:rPr>
              <w:t>E-Mail-Verkehr Weber/Richter zur außergerichtlichen Sanierung, Mai 2024 (Auszug)</w:t>
            </w:r>
          </w:p>
        </w:tc>
      </w:tr>
      <w:tr>
        <w:tc>
          <w:tcPr>
            <w:tcW w:type="dxa" w:w="4536"/>
          </w:tcPr>
          <w:p>
            <w:r>
              <w:rPr>
                <w:rFonts w:ascii="Times New Roman" w:hAnsi="Times New Roman"/>
                <w:sz w:val="20"/>
              </w:rPr>
              <w:t>Anl. 10</w:t>
            </w:r>
          </w:p>
        </w:tc>
        <w:tc>
          <w:tcPr>
            <w:tcW w:type="dxa" w:w="4536"/>
          </w:tcPr>
          <w:p>
            <w:r>
              <w:rPr>
                <w:rFonts w:ascii="Times New Roman" w:hAnsi="Times New Roman"/>
                <w:sz w:val="20"/>
              </w:rPr>
              <w:t>Mandatsniederlegungs-Schreiben StB Hartmann vom 22.11.2023</w:t>
            </w:r>
          </w:p>
        </w:tc>
      </w:tr>
      <w:tr>
        <w:tc>
          <w:tcPr>
            <w:tcW w:type="dxa" w:w="4536"/>
          </w:tcPr>
          <w:p>
            <w:r>
              <w:rPr>
                <w:rFonts w:ascii="Times New Roman" w:hAnsi="Times New Roman"/>
                <w:sz w:val="20"/>
              </w:rPr>
              <w:t>Anl. 11</w:t>
            </w:r>
          </w:p>
        </w:tc>
        <w:tc>
          <w:tcPr>
            <w:tcW w:type="dxa" w:w="4536"/>
          </w:tcPr>
          <w:p>
            <w:r>
              <w:rPr>
                <w:rFonts w:ascii="Times New Roman" w:hAnsi="Times New Roman"/>
                <w:sz w:val="20"/>
              </w:rPr>
              <w:t>Aufzeichnungen Geschäftsführer-Aufgabenteilung (interne Notiz Mai 2023)</w:t>
            </w:r>
          </w:p>
        </w:tc>
      </w:tr>
      <w:tr>
        <w:tc>
          <w:tcPr>
            <w:tcW w:type="dxa" w:w="4536"/>
          </w:tcPr>
          <w:p>
            <w:r>
              <w:rPr>
                <w:rFonts w:ascii="Times New Roman" w:hAnsi="Times New Roman"/>
                <w:sz w:val="20"/>
              </w:rPr>
              <w:t>Anl. 12</w:t>
            </w:r>
          </w:p>
        </w:tc>
        <w:tc>
          <w:tcPr>
            <w:tcW w:type="dxa" w:w="4536"/>
          </w:tcPr>
          <w:p>
            <w:r>
              <w:rPr>
                <w:rFonts w:ascii="Times New Roman" w:hAnsi="Times New Roman"/>
                <w:sz w:val="20"/>
              </w:rPr>
              <w:t>Mietvertrag Goethestraße 18 vom 18.02.2019</w:t>
            </w:r>
          </w:p>
        </w:tc>
      </w:tr>
    </w:tbl>
    <w:p>
      <w:pPr>
        <w:pStyle w:val="Heading2"/>
      </w:pPr>
      <w:r>
        <w:rPr>
          <w:rFonts w:ascii="Times New Roman" w:hAnsi="Times New Roman"/>
        </w:rPr>
        <w:t>V. Antrag im Übrigen</w:t>
      </w:r>
    </w:p>
    <w:p>
      <w:pPr>
        <w:jc w:val="left"/>
      </w:pPr>
      <w:r>
        <w:t>Beantragt wird:</w:t>
      </w:r>
    </w:p>
    <w:p>
      <w:pPr>
        <w:pStyle w:val="ListNumber"/>
      </w:pPr>
      <w:r>
        <w:t>Eröffnung des Insolvenzverfahrens über das Vermögen der LUMEN Studios GmbH gemäß §§ 16, 17, 19 InsO,</w:t>
      </w:r>
    </w:p>
    <w:p>
      <w:pPr>
        <w:pStyle w:val="ListNumber"/>
      </w:pPr>
      <w:r>
        <w:t>Anordnung der vorläufigen Insolvenzverwaltung mit Zustimmungsvorbehalt gemäß §§ 21, 22 InsO,</w:t>
      </w:r>
    </w:p>
    <w:p>
      <w:pPr>
        <w:pStyle w:val="ListNumber"/>
      </w:pPr>
      <w:r>
        <w:t>Anordnung der Sicherungsmaßnahmen gemäß § 21 Abs. 2 InsO (Vollstreckungsverbot etc.),</w:t>
      </w:r>
    </w:p>
    <w:p>
      <w:pPr>
        <w:pStyle w:val="ListNumber"/>
      </w:pPr>
      <w:r>
        <w:t>Bestellung eines geeigneten vorläufigen Insolvenzverwalters,</w:t>
      </w:r>
    </w:p>
    <w:p>
      <w:pPr>
        <w:pStyle w:val="ListNumber"/>
      </w:pPr>
      <w:r>
        <w:t>nachrichtliche Mitteilung an das Handelsregister und an das Finanzamt.</w:t>
      </w:r>
    </w:p>
    <w:p>
      <w:pPr>
        <w:jc w:val="left"/>
      </w:pPr>
      <w:r>
        <w:t>Ich stehe dem Gericht für Rückfragen jederzeit zur Verfügung. Telefonisch erreichbar bin ich unter 0151 / 28 47 13 22; E-Mail florian.weber@lumen-studios.de (Postfach ist bei Mitgeschäftsführer Richter gespeichert; ich werde Postzustellungen unverzüglich quittieren).</w:t>
      </w:r>
    </w:p>
    <w:p>
      <w:pPr>
        <w:jc w:val="left"/>
      </w:pPr>
      <w:r>
        <w:t>Mit freundlichen Grüßen</w:t>
      </w:r>
    </w:p>
    <w:p>
      <w:pPr>
        <w:jc w:val="left"/>
      </w:pPr>
      <w:r>
        <w:t>_Florian Weber_</w:t>
      </w:r>
    </w:p>
    <w:p>
      <w:pPr>
        <w:jc w:val="left"/>
      </w:pPr>
      <w:r>
        <w:t>(als Geschäftsführer der LUMEN Studios GmbH)</w:t>
      </w:r>
    </w:p>
    <w:p/>
    <w:p>
      <w:pPr>
        <w:jc w:val="left"/>
      </w:pPr>
      <w:r>
        <w:rPr>
          <w:b/>
        </w:rPr>
        <w:t>Hinweis des Gerichts (zu Akte genommen):</w:t>
      </w:r>
    </w:p>
    <w:p>
      <w:pPr>
        <w:jc w:val="left"/>
      </w:pPr>
      <w:r>
        <w:t>Am 22.05.2024, 14:38 Uhr, ist auch ein Antrag des Mitgeschäftsführers Herrn Sebastian Richter eingegangen, in dem dieser die "Rücknahme des Antrags des Herrn Weber" begehrt. Hierzu wird gesondert verfügt.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