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Insolvenzeröffnungs-Gutachten gemäß § 5 InsO</w:t>
      </w:r>
    </w:p>
    <w:p>
      <w:pPr>
        <w:jc w:val="left"/>
      </w:pPr>
      <w:r>
        <w:rPr>
          <w:b/>
        </w:rPr>
        <w:t>Bergmann · Reuther · von Tannberg Insolvenzverwalter Partnerschaft mbB</w:t>
      </w:r>
    </w:p>
    <w:p>
      <w:pPr>
        <w:jc w:val="left"/>
      </w:pPr>
      <w:r>
        <w:t>RAin Dr. Claudia Bergmann</w:t>
      </w:r>
    </w:p>
    <w:p>
      <w:pPr>
        <w:jc w:val="left"/>
      </w:pPr>
      <w:r>
        <w:t>Goethestraße 53 · 60313 Frankfurt am Main</w:t>
      </w:r>
    </w:p>
    <w:p>
      <w:pPr>
        <w:jc w:val="left"/>
      </w:pPr>
      <w:r>
        <w:t>An das Amtsgericht Frankfurt am Main</w:t>
      </w:r>
    </w:p>
    <w:p>
      <w:pPr>
        <w:jc w:val="left"/>
      </w:pPr>
      <w:r>
        <w:t>— Insolvenzabteilung —</w:t>
      </w:r>
    </w:p>
    <w:p>
      <w:pPr>
        <w:jc w:val="left"/>
      </w:pPr>
      <w:r>
        <w:t>Klingerstraße 20</w:t>
      </w:r>
    </w:p>
    <w:p>
      <w:pPr>
        <w:jc w:val="left"/>
      </w:pPr>
      <w:r>
        <w:t>60313 Frankfurt am Main</w:t>
      </w:r>
    </w:p>
    <w:p>
      <w:pPr>
        <w:jc w:val="left"/>
      </w:pPr>
      <w:r>
        <w:t>Frankfurt am Main, den 18. Juli 2024</w:t>
      </w:r>
    </w:p>
    <w:p/>
    <w:p>
      <w:pPr>
        <w:jc w:val="left"/>
      </w:pPr>
      <w:r>
        <w:rPr>
          <w:b/>
        </w:rPr>
        <w:t>In dem Insolvenzeröffnungsverfahren</w:t>
      </w:r>
    </w:p>
    <w:p>
      <w:pPr>
        <w:jc w:val="left"/>
      </w:pPr>
      <w:r>
        <w:t>LUMEN Studios GmbH, Goethestraße 18, 60313 Frankfurt am Main</w:t>
      </w:r>
    </w:p>
    <w:p>
      <w:pPr>
        <w:jc w:val="left"/>
      </w:pPr>
      <w:r>
        <w:t>Aktenzeichen: 810 IN 245/24</w:t>
      </w:r>
    </w:p>
    <w:p>
      <w:pPr>
        <w:jc w:val="left"/>
      </w:pPr>
      <w:r>
        <w:t>erstatte ich gemäß § 5 InsO und Ziffer IV Nr. 1 des Beschlusses vom 22.05.2024 folgendes</w:t>
      </w:r>
    </w:p>
    <w:p>
      <w:pPr>
        <w:pStyle w:val="Heading2"/>
      </w:pPr>
      <w:r>
        <w:rPr>
          <w:rFonts w:ascii="Times New Roman" w:hAnsi="Times New Roman"/>
        </w:rPr>
        <w:t>Gutachten</w:t>
      </w:r>
    </w:p>
    <w:p>
      <w:pPr>
        <w:pStyle w:val="Heading3"/>
      </w:pPr>
      <w:r>
        <w:rPr>
          <w:rFonts w:ascii="Times New Roman" w:hAnsi="Times New Roman"/>
        </w:rPr>
        <w:t>1. Eingangs-Befund</w:t>
      </w:r>
    </w:p>
    <w:p>
      <w:pPr>
        <w:jc w:val="left"/>
      </w:pPr>
      <w:r>
        <w:t>Der Insolvenzantrag des Mitgeschäftsführers Florian Weber vom 22.05.2024 ist zulässig. Die Angaben zum Insolvenzgrund werden im Folgenden bewertet.</w:t>
      </w:r>
    </w:p>
    <w:p>
      <w:pPr>
        <w:pStyle w:val="Heading3"/>
      </w:pPr>
      <w:r>
        <w:rPr>
          <w:rFonts w:ascii="Times New Roman" w:hAnsi="Times New Roman"/>
        </w:rPr>
        <w:t>2. Vorgehensweise</w:t>
      </w:r>
    </w:p>
    <w:p>
      <w:pPr>
        <w:jc w:val="left"/>
      </w:pPr>
      <w:r>
        <w:t>Ich habe in der Zeit vom 22.05.2024 bis 15.07.2024 folgende Maßnahmen durchgeführt:</w:t>
      </w:r>
    </w:p>
    <w:p>
      <w:pPr>
        <w:pStyle w:val="ListBullet"/>
      </w:pPr>
      <w:r>
        <w:t>Vor-Ort-Besuche in den Geschäftsräumen Goethestraße 18 (insgesamt 7 Termine, davon 5 mit Herrn Richter, 4 mit Herrn Weber, 2 mit beiden)</w:t>
      </w:r>
    </w:p>
    <w:p>
      <w:pPr>
        <w:pStyle w:val="ListBullet"/>
      </w:pPr>
      <w:r>
        <w:t>Sichtung der vorhandenen Buchhaltungs-Unterlagen (Belegmappe ab 01.01.2024 bis 22.05.2024, Bankauszüge, OPOS-Liste Sparkasse Frankfurt)</w:t>
      </w:r>
    </w:p>
    <w:p>
      <w:pPr>
        <w:pStyle w:val="ListBullet"/>
      </w:pPr>
      <w:r>
        <w:t>Übersendung eines strukturierten Fragenkatalogs an beide Geschäftsführer (Antworten Weber am 04.06.2024, Antworten Richter am 12.06.2024)</w:t>
      </w:r>
    </w:p>
    <w:p>
      <w:pPr>
        <w:pStyle w:val="ListBullet"/>
      </w:pPr>
      <w:r>
        <w:t>Befragung des bisherigen Steuerberaters StB Wolfgang Hartmann (Hartmann &amp; Partner Steuerberater mbB) am 18.06.2024</w:t>
      </w:r>
    </w:p>
    <w:p>
      <w:pPr>
        <w:pStyle w:val="ListBullet"/>
      </w:pPr>
      <w:r>
        <w:t>Befragung des Firmenkundenbetreuers der Sparkasse Frankfurt, Herrn Achim Hagen-Schwarz, am 21.06.2024</w:t>
      </w:r>
    </w:p>
    <w:p>
      <w:pPr>
        <w:pStyle w:val="ListBullet"/>
      </w:pPr>
      <w:r>
        <w:t>Sichtung der bisherigen Auftrags- und Honorarbücher (Microsoft Excel, ergänzt)</w:t>
      </w:r>
    </w:p>
    <w:p>
      <w:pPr>
        <w:pStyle w:val="ListBullet"/>
      </w:pPr>
      <w:r>
        <w:t>Vermögensaufnahme (Inventar Geschäftsräume Goethestraße 18)</w:t>
      </w:r>
    </w:p>
    <w:p>
      <w:pPr>
        <w:pStyle w:val="ListBullet"/>
      </w:pPr>
      <w:r>
        <w:t>Bewertung der laufenden Aufträge auf Realisierbarkeit</w:t>
      </w:r>
    </w:p>
    <w:p>
      <w:pPr>
        <w:pStyle w:val="ListBullet"/>
      </w:pPr>
      <w:r>
        <w:t>Kontakt zum von Herrn Richter benannten potentiellen Investor (Dr. Lorenz Petersen, Petersen Family Office GmbH) am 09.07.2024 — siehe Ziffer 5.</w:t>
      </w:r>
    </w:p>
    <w:p>
      <w:pPr>
        <w:pStyle w:val="Heading3"/>
      </w:pPr>
      <w:r>
        <w:rPr>
          <w:rFonts w:ascii="Times New Roman" w:hAnsi="Times New Roman"/>
        </w:rPr>
        <w:t>3. Vermögens- und Liquiditätslage</w:t>
      </w:r>
    </w:p>
    <w:p>
      <w:pPr>
        <w:pStyle w:val="Heading3"/>
      </w:pPr>
      <w:r>
        <w:rPr>
          <w:rFonts w:ascii="Times New Roman" w:hAnsi="Times New Roman"/>
        </w:rPr>
        <w:t>3.1 Aktiva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Bankguthaben Sparkasse Frankfurt (Konto 4 287 924) Stand 18.07.2024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1.847,22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Eingeschränkt verfügbar, KK-Linie ausgeschöpft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Forderungen aus Lieferungen und Leistungen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42.840,00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Brutto offen; nach Sichtung Werthaltigkeit ca. 60 % = 25.704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Honoraransprüche laufende Projekte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18.420,00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Realisierungsgrad fraglich, da Mitwirkungsleistung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Vorräte (Verbrauchsmaterial, Festplatten, kleinere Technik)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4.200,00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Verkehrswert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Immaterielles Vermögen (Markenname "LUMEN")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5.000,00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geschätzt, Marktwert begrenzt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Anlagevermögen Technik (Kameras, Schnittarbeitsplätze, Drohne) — Restwert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38.400,00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Bewertet zu 30 % unter Buchwert wegen Schnellverwertung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Sicherheitsleistung Mietkaution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4.800,00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 Vermieter geleistet, Rückforderung nach Beendigung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Aktiva (realistischer Verwertungswert)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75.971,22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sofortiger Verwertung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Passiva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Finanzamt Frankfurt I (USt-Vorauszahlungen + Lohnsteuer Q1+Q2 2024)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51.840,00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Sozialversicherungsbeiträge (TK, BARMER, DAK, Berufsgenossenschaft)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32.460,00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Lieferanten (gesamt, 14 Gläubiger)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47.380,00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Mietrückstand Goethestraße 18 (April-Juli 2024)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19.200,00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Sparkasse Frankfurt — Kontokorrent + Investitionsdarlehen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78.420,00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Honoraransprüche Freelancer (offen, fünf Personen)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18.420,00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Gesellschafter-Darlehen (Richter 2022)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35.000,00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Stromrechnungen, Telekommunikation, sonstige laufende 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8.620,00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Steuerberater-Honorar Hartmann (offen)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12.840,00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Verbindlichkeiten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6.140,00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Passiva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310.320,00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3.3 Bewertung</w:t>
      </w:r>
    </w:p>
    <w:p>
      <w:pPr>
        <w:jc w:val="left"/>
      </w:pPr>
      <w:r>
        <w:t xml:space="preserve">Es ergibt sich eine </w:t>
      </w:r>
      <w:r>
        <w:rPr>
          <w:b/>
        </w:rPr>
        <w:t>Überschuldung in Höhe von ca. EUR 234.349</w:t>
      </w:r>
      <w:r>
        <w:t xml:space="preserve"> zum Stichtag 18.07.2024.</w:t>
      </w:r>
    </w:p>
    <w:p>
      <w:pPr>
        <w:jc w:val="left"/>
      </w:pPr>
      <w:r>
        <w:t>Die Liquiditätslücke ist mit ca. 99 Prozent dramatisch. Die Zahlungsunfähigkeit gemäß § 17 Abs. 2 InsO ist eindeutig festzustellen; sie ist bereits seit April 2024 eingetreten.</w:t>
      </w:r>
    </w:p>
    <w:p>
      <w:pPr>
        <w:pStyle w:val="Heading3"/>
      </w:pPr>
      <w:r>
        <w:rPr>
          <w:rFonts w:ascii="Times New Roman" w:hAnsi="Times New Roman"/>
        </w:rPr>
        <w:t>4. Insolvenzantragspflicht</w:t>
      </w:r>
    </w:p>
    <w:p>
      <w:pPr>
        <w:jc w:val="left"/>
      </w:pPr>
      <w:r>
        <w:t xml:space="preserve">Die Insolvenzantragspflicht nach § 15a Abs. 1 InsO ist spätestens Anfang Mai 2024 mit Eintritt der Zahlungsunfähigkeit ausgelöst worden. Der Antrag des Mitgeschäftsführers Weber vom 22.05.2024 wahrt die Drei-Wochen-Frist nur knapp, möglicherweise nicht vollständig. Die Frage einer </w:t>
      </w:r>
      <w:r>
        <w:rPr>
          <w:b/>
        </w:rPr>
        <w:t>strafrechtlichen Relevanz</w:t>
      </w:r>
      <w:r>
        <w:t xml:space="preserve"> (§ 15a Abs. 4 InsO) ist sorgfältig zu prüfen — meines Erachtens ist die strafrechtliche Bewertung dem zuständigen Ermittlungsverfahren der Staatsanwaltschaft zu überlassen; ich werde, sobald das Insolvenzverfahren abgeschlossen ist, eine ergänzende Mitteilung an die StA gemäß § 31a BORA in Verbindung mit der Mitteilungspflicht des Insolvenzgerichts vorbereiten.</w:t>
      </w:r>
    </w:p>
    <w:p>
      <w:pPr>
        <w:pStyle w:val="Heading3"/>
      </w:pPr>
      <w:r>
        <w:rPr>
          <w:rFonts w:ascii="Times New Roman" w:hAnsi="Times New Roman"/>
        </w:rPr>
        <w:t>5. Sanierungsoption — Investorengespräche Richter</w:t>
      </w:r>
    </w:p>
    <w:p>
      <w:pPr>
        <w:jc w:val="left"/>
      </w:pPr>
      <w:r>
        <w:t>Der von Herrn Richter genannte Investor Dr. Lorenz Petersen (Petersen Family Office GmbH) ist eine real existierende Gesellschaft. Im Telefonat am 09.07.2024 hat Dr. Petersen mir gegenüber erklärt:</w:t>
      </w:r>
    </w:p>
    <w:p>
      <w:pPr>
        <w:pStyle w:val="ListBullet"/>
      </w:pPr>
      <w:r>
        <w:t>Eine Beteiligungs-Vereinbarung sei zwar in Erwägung gezogen, aber nach Sichtung der vorliegenden Bilanz-Daten und der nun erkennbaren Schuldenlage nicht mehr realistisch.</w:t>
      </w:r>
    </w:p>
    <w:p>
      <w:pPr>
        <w:pStyle w:val="ListBullet"/>
      </w:pPr>
      <w:r>
        <w:t>Eine Investition iHv EUR 150.000 wäre keinesfalls ausreichend, um die akute Schuldenlage zu bewältigen.</w:t>
      </w:r>
    </w:p>
    <w:p>
      <w:pPr>
        <w:pStyle w:val="ListBullet"/>
      </w:pPr>
      <w:r>
        <w:t>Petersen erwäge allenfalls eine Übernahme von Vermögenswerten (Marke "LUMEN", Kunden-Stammdaten) im Rahmen eines Asset Deals nach Eröffnung des Insolvenzverfahrens. Hierzu sei er bereit, ein Angebot über ca. EUR 25.000 abzugeben.</w:t>
      </w:r>
    </w:p>
    <w:p>
      <w:pPr>
        <w:jc w:val="left"/>
      </w:pPr>
      <w:r>
        <w:t>Die von Herrn Richter dargestellte Sanierungs-Option ist daher nicht belastbar.</w:t>
      </w:r>
    </w:p>
    <w:p>
      <w:pPr>
        <w:pStyle w:val="Heading3"/>
      </w:pPr>
      <w:r>
        <w:rPr>
          <w:rFonts w:ascii="Times New Roman" w:hAnsi="Times New Roman"/>
        </w:rPr>
        <w:t>6. Stundungs-Verhandlungen Finanzamt / Sparkasse</w:t>
      </w:r>
    </w:p>
    <w:p>
      <w:pPr>
        <w:jc w:val="left"/>
      </w:pPr>
      <w:r>
        <w:t>Frau Wendler (FA Frankfurt I) hat im Telefonat am 02.07.2024 ausdrücklich erklärt, dass eine Stundung der Steuerverbindlichkeiten ohne ein belastbares Sanierungs-Konzept nach IDW S 6 nicht möglich sei. Ein solches Konzept ist nicht vorgelegt worden.</w:t>
      </w:r>
    </w:p>
    <w:p>
      <w:pPr>
        <w:jc w:val="left"/>
      </w:pPr>
      <w:r>
        <w:t>Herr Hagen-Schwarz (Sparkasse Frankfurt) hat im Gespräch am 21.06.2024 erklärt, dass die Bank die Stillhalte-Vereinbarung am 30.06.2024 hat auslaufen lassen, da kein belastbares Sanierungs-Konzept vorgelegen habe. Die Bank werde nun gegebenenfalls Vollstreckungsmaßnahmen einleiten, derzeit verfolge sie das Eröffnungsverfahren.</w:t>
      </w:r>
    </w:p>
    <w:p>
      <w:pPr>
        <w:pStyle w:val="Heading3"/>
      </w:pPr>
      <w:r>
        <w:rPr>
          <w:rFonts w:ascii="Times New Roman" w:hAnsi="Times New Roman"/>
        </w:rPr>
        <w:t>7. Buchhaltungs-Befund</w:t>
      </w:r>
    </w:p>
    <w:p>
      <w:pPr>
        <w:jc w:val="left"/>
      </w:pPr>
      <w:r>
        <w:t>Die Buchhaltung der Schuldnerin ist ab Oktober 2023 erheblich mangelhaft.</w:t>
      </w:r>
    </w:p>
    <w:p>
      <w:pPr>
        <w:pStyle w:val="ListBullet"/>
      </w:pPr>
      <w:r>
        <w:t>Vorhanden: Belegmappe (chronologisch, aber nicht systematisch erfasst); Bankauszüge; einige Excel-Dateien</w:t>
      </w:r>
    </w:p>
    <w:p>
      <w:pPr>
        <w:pStyle w:val="ListBullet"/>
      </w:pPr>
      <w:r>
        <w:t>Nicht vorhanden: ordnungsgemäße Buchführung (DATEV oder vergleichbar) ab Oktober 2023; Inventar zum 31.12.2023; Jahresabschluss 2023; Bilanz; GuV</w:t>
      </w:r>
    </w:p>
    <w:p>
      <w:pPr>
        <w:pStyle w:val="ListBullet"/>
      </w:pPr>
      <w:r>
        <w:t>Steuerberater Hartmann hat sein Mandat am 22.11.2023 niedergelegt wegen "mangelnder Mitwirkung". Eine Nachfolge wurde nicht beauftragt.</w:t>
      </w:r>
    </w:p>
    <w:p>
      <w:pPr>
        <w:pStyle w:val="ListBullet"/>
      </w:pPr>
      <w:r>
        <w:t>Die laufende Lohnbuchhaltung wurde durch eine externe Lohnbuchhalterin (Frau Andrea Sturm) bis April 2024 noch fortgeführt; SV- und Lohnsteuer-Anmeldungen wurden erstattet, aber nicht alle Zahlungen durchgeführt.</w:t>
      </w:r>
    </w:p>
    <w:p>
      <w:pPr>
        <w:jc w:val="left"/>
      </w:pPr>
      <w:r>
        <w:t>Aus Sicht des Insolvenzrechts: Die Buchhaltungs-Lage ist so unzureichend, dass eine ordnungsgemäße Verwertung erheblich erschwert wird. Es ist nicht zuverlässig festzustellen, welche Vermögensverschiebungen (insbesondere Zahlungen an einzelne Gläubiger) im Zeitraum 10/2023 bis 05/2024 stattgefunden haben und damit ggf. anfechtbar sein könnten.</w:t>
      </w:r>
    </w:p>
    <w:p>
      <w:pPr>
        <w:jc w:val="left"/>
      </w:pPr>
      <w:r>
        <w:rPr>
          <w:b/>
        </w:rPr>
        <w:t>Diese Buchhaltungs-Lage ist möglicherweise auch strafrechtlich relevant (§ 283b StGB Verletzung der Buchführungspflicht).</w:t>
      </w:r>
    </w:p>
    <w:p>
      <w:pPr>
        <w:pStyle w:val="Heading3"/>
      </w:pPr>
      <w:r>
        <w:rPr>
          <w:rFonts w:ascii="Times New Roman" w:hAnsi="Times New Roman"/>
        </w:rPr>
        <w:t>8. Massearmut — Prognose</w:t>
      </w:r>
    </w:p>
    <w:p>
      <w:pPr>
        <w:jc w:val="left"/>
      </w:pPr>
      <w:r>
        <w:t>Bei Berücksichtigung folgender Posten ist die Frage der Massearmut zu beantworten:</w:t>
      </w:r>
    </w:p>
    <w:p>
      <w:pPr>
        <w:pStyle w:val="ListBullet"/>
      </w:pPr>
      <w:r>
        <w:t>Verwertbares Aktiv-Vermögen (realistisch): EUR 75.971</w:t>
      </w:r>
    </w:p>
    <w:p>
      <w:pPr>
        <w:pStyle w:val="ListBullet"/>
      </w:pPr>
      <w:r>
        <w:t>Erwarteter Verwertungs-Verlauf: Asset-Deal mit Petersen Family Office (EUR 25.000) plus Forderungs-Beitreibung (EUR 25.704) plus Anlage-Verkauf (EUR 38.400) plus Vorräte (EUR 4.200) = EUR 93.304 Bruttoerlös</w:t>
      </w:r>
    </w:p>
    <w:p>
      <w:pPr>
        <w:pStyle w:val="ListBullet"/>
      </w:pPr>
      <w:r>
        <w:t>./. Vergütung vorläufige Insolvenzverwaltung (EUR 18.000)</w:t>
      </w:r>
    </w:p>
    <w:p>
      <w:pPr>
        <w:pStyle w:val="ListBullet"/>
      </w:pPr>
      <w:r>
        <w:t>./. Vergütung Insolvenzverwalter (Stundungsantrag bei Eröffnung; nach Schätzung EUR 32.000)</w:t>
      </w:r>
    </w:p>
    <w:p>
      <w:pPr>
        <w:pStyle w:val="ListBullet"/>
      </w:pPr>
      <w:r>
        <w:t>./. Massekosten Eröffnung (Gerichtskosten, Auslagen ca. EUR 4.000)</w:t>
      </w:r>
    </w:p>
    <w:p>
      <w:pPr>
        <w:pStyle w:val="ListBullet"/>
      </w:pPr>
      <w:r>
        <w:t>./. Anwalts- und Gutachterkosten Verfahren (ca. EUR 6.000)</w:t>
      </w:r>
    </w:p>
    <w:p>
      <w:pPr>
        <w:pStyle w:val="ListBullet"/>
      </w:pPr>
      <w:r>
        <w:t>= voraussichtlich verteilbare Masse: EUR 33.304</w:t>
      </w:r>
    </w:p>
    <w:p>
      <w:pPr>
        <w:jc w:val="left"/>
      </w:pPr>
      <w:r>
        <w:t xml:space="preserve">Bei Gegenüberstellung der Insolvenzforderungen (EUR 310.320) ergäbe sich eine Quote von ca. 10–11 Prozent. </w:t>
      </w:r>
      <w:r>
        <w:rPr>
          <w:b/>
        </w:rPr>
        <w:t>Allerdings</w:t>
      </w:r>
      <w:r>
        <w:t xml:space="preserve"> ist die Insolvenzverwalter-Vergütung in dieser Höhe ohne Stundungsantrag (§ 4a InsO) nicht durch die Masse zu decken, da die Mindest-Vergütung nach § 2 Abs. 2 InsVV bei rund EUR 17.500 + Auslagen + USt liegt und die Erstausstattungs-Massekosten einschließlich Verfahrenskosten Gerichtskasse von der Gesellschaft nicht aufgebracht werden können.</w:t>
      </w:r>
    </w:p>
    <w:p>
      <w:pPr>
        <w:jc w:val="left"/>
      </w:pPr>
      <w:r>
        <w:rPr>
          <w:b/>
        </w:rPr>
        <w:t>Da die Schuldnerin nicht über ausreichendes Vermögen verfügt, um die Massekosten (insbesondere Verfahrenskosten der Gerichtskasse und Vergütung des Insolvenzverwalters) zu decken, und ein Stundungs-Antrag nach § 4a InsO bei juristischen Personen nicht statthaft ist (BGH ZIP 2003, 1659), liegt eine Massearmuts-Konstellation gemäß § 26 InsO vor.</w:t>
      </w:r>
    </w:p>
    <w:p>
      <w:pPr>
        <w:pStyle w:val="Heading3"/>
      </w:pPr>
      <w:r>
        <w:rPr>
          <w:rFonts w:ascii="Times New Roman" w:hAnsi="Times New Roman"/>
        </w:rPr>
        <w:t>9. Ergebnis und Antrag</w:t>
      </w:r>
    </w:p>
    <w:p>
      <w:pPr>
        <w:pStyle w:val="ListNumber"/>
      </w:pPr>
      <w:r>
        <w:rPr>
          <w:b/>
        </w:rPr>
        <w:t>Insolvenzgrund</w:t>
      </w:r>
      <w:r>
        <w:t>: Zahlungsunfähigkeit § 17 InsO und Überschuldung § 19 InsO sind festgestellt.</w:t>
      </w:r>
    </w:p>
    <w:p>
      <w:pPr>
        <w:pStyle w:val="ListNumber"/>
      </w:pPr>
      <w:r>
        <w:rPr>
          <w:b/>
        </w:rPr>
        <w:t>Sanierungsoption</w:t>
      </w:r>
      <w:r>
        <w:t>: Nicht belastbar, kann das Verfahren nicht abwenden.</w:t>
      </w:r>
    </w:p>
    <w:p>
      <w:pPr>
        <w:pStyle w:val="ListNumber"/>
      </w:pPr>
      <w:r>
        <w:rPr>
          <w:b/>
        </w:rPr>
        <w:t>Massearmut</w:t>
      </w:r>
      <w:r>
        <w:t>: § 26 InsO liegt vor — die Masse reicht nicht aus, um die Verfahrenskosten zu decken.</w:t>
      </w:r>
    </w:p>
    <w:p>
      <w:pPr>
        <w:pStyle w:val="ListNumber"/>
      </w:pPr>
      <w:r>
        <w:rPr>
          <w:b/>
        </w:rPr>
        <w:t>Empfehlung</w:t>
      </w:r>
      <w:r>
        <w:t>: Abweisung des Antrags mangels Masse gemäß § 26 Abs. 1 InsO.</w:t>
      </w:r>
    </w:p>
    <w:p>
      <w:pPr>
        <w:pStyle w:val="ListNumber"/>
      </w:pPr>
      <w:r>
        <w:rPr>
          <w:b/>
        </w:rPr>
        <w:t>Mitteilungspflicht</w:t>
      </w:r>
      <w:r>
        <w:t>: Nach Abschluss des Verfahrens sind gemäß § 23 Abs. 1 GmbHG iVm § 31 GmbHG die Handelsregister-Eintragung der Auflösung zu veranlassen sowie gemäß § 32a Abs. 1 InsO bzw. Mitteilungs-Praxis der Insolvenzgerichte die Staatsanwaltschaft über mögliche Bankrott-Tatbestände (§§ 283, 283b StGB) zu informieren.</w:t>
      </w:r>
    </w:p>
    <w:p>
      <w:pPr>
        <w:pStyle w:val="Heading3"/>
      </w:pPr>
      <w:r>
        <w:rPr>
          <w:rFonts w:ascii="Times New Roman" w:hAnsi="Times New Roman"/>
        </w:rPr>
        <w:t>10. Vergütungsanspruch</w:t>
      </w:r>
    </w:p>
    <w:p>
      <w:pPr>
        <w:jc w:val="left"/>
      </w:pPr>
      <w:r>
        <w:t>Mein Vergütungsanspruch für die vorläufige Tätigkeit beträgt nach § 11 InsVV iVm § 2 Abs. 2 InsVV (Mindest-Vergütung): EUR 18.247,80 (inkl. Auslagen 4 % + USt 19 %). Bei Massearmut ist dieser Anspruch ggf. durch Stundung der Gerichtskasse zu erstatten — gesonderter Festsetzungsantrag wird mit Abschlussbericht gestellt.</w:t>
      </w:r>
    </w:p>
    <w:p/>
    <w:p>
      <w:pPr>
        <w:jc w:val="left"/>
      </w:pPr>
      <w:r>
        <w:t>Frankfurt am Main, den 18. Juli 2024</w:t>
      </w:r>
    </w:p>
    <w:p>
      <w:pPr>
        <w:jc w:val="left"/>
      </w:pPr>
      <w:r>
        <w:t>_Dr. Claudia Bergmann_</w:t>
      </w:r>
    </w:p>
    <w:p>
      <w:pPr>
        <w:jc w:val="left"/>
      </w:pPr>
      <w:r>
        <w:t>Rechtsanwältin</w:t>
      </w:r>
    </w:p>
    <w:p>
      <w:pPr>
        <w:jc w:val="left"/>
      </w:pPr>
      <w:r>
        <w:t>vorläufige Insolvenzverwalterin</w:t>
      </w:r>
    </w:p>
    <w:p/>
    <w:p>
      <w:pPr>
        <w:jc w:val="left"/>
      </w:pPr>
      <w:r>
        <w:rPr>
          <w:b/>
        </w:rPr>
        <w:t>Anlagen:</w:t>
      </w:r>
    </w:p>
    <w:p>
      <w:pPr>
        <w:pStyle w:val="ListBullet"/>
      </w:pPr>
      <w:r>
        <w:t>G1: Korrespondenz Petersen Family Office GmbH (E-Mail-Auszug 09.07.2024)</w:t>
      </w:r>
    </w:p>
    <w:p>
      <w:pPr>
        <w:pStyle w:val="ListBullet"/>
      </w:pPr>
      <w:r>
        <w:t>G2: Vermerk Telefonat FA Frankfurt I, Frau Wendler, 02.07.2024</w:t>
      </w:r>
    </w:p>
    <w:p>
      <w:pPr>
        <w:pStyle w:val="ListBullet"/>
      </w:pPr>
      <w:r>
        <w:t>G3: Vermerk Gespräch Sparkasse Frankfurt, Herr Hagen-Schwarz, 21.06.2024</w:t>
      </w:r>
    </w:p>
    <w:p>
      <w:pPr>
        <w:pStyle w:val="ListBullet"/>
      </w:pPr>
      <w:r>
        <w:t>G4: Vermögensaufstellung Aktiv-Passiv detailliert</w:t>
      </w:r>
    </w:p>
    <w:p>
      <w:pPr>
        <w:pStyle w:val="ListBullet"/>
      </w:pPr>
      <w:r>
        <w:t>G5: Vermerk Gespräch StB Hartmann, 18.06.2024</w:t>
      </w:r>
    </w:p>
    <w:p>
      <w:pPr>
        <w:pStyle w:val="ListBullet"/>
      </w:pPr>
      <w:r>
        <w:t>G6: Zusammenstellung Buchhaltungs-Belege ab 01.10.2023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