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Einleitungsverfügung Staatsanwaltschaft</w:t>
      </w:r>
    </w:p>
    <w:p>
      <w:pPr>
        <w:jc w:val="left"/>
      </w:pPr>
      <w:r>
        <w:rPr>
          <w:b/>
        </w:rPr>
        <w:t>Staatsanwaltschaft Frankfurt am Main</w:t>
      </w:r>
    </w:p>
    <w:p>
      <w:pPr>
        <w:jc w:val="left"/>
      </w:pPr>
      <w:r>
        <w:t>Abteilung 9 (Wirtschaftsstrafsachen)</w:t>
      </w:r>
    </w:p>
    <w:p>
      <w:pPr>
        <w:jc w:val="left"/>
      </w:pPr>
      <w:r>
        <w:t>Konrad-Adenauer-Straße 20</w:t>
      </w:r>
    </w:p>
    <w:p>
      <w:pPr>
        <w:jc w:val="left"/>
      </w:pPr>
      <w:r>
        <w:t>60313 Frankfurt am Main</w:t>
      </w:r>
    </w:p>
    <w:p>
      <w:pPr>
        <w:jc w:val="left"/>
      </w:pPr>
      <w:r>
        <w:t xml:space="preserve">Aktenzeichen: </w:t>
      </w:r>
      <w:r>
        <w:rPr>
          <w:b/>
        </w:rPr>
        <w:t>930 Js 1147/24</w:t>
      </w:r>
    </w:p>
    <w:p>
      <w:pPr>
        <w:jc w:val="left"/>
      </w:pPr>
      <w:r>
        <w:t>Sachbearbeiterin: StAin Dr. Petersen</w:t>
      </w:r>
    </w:p>
    <w:p>
      <w:pPr>
        <w:jc w:val="left"/>
      </w:pPr>
      <w:r>
        <w:t>Telefon 069 / 1367-5742</w:t>
      </w:r>
    </w:p>
    <w:p>
      <w:pPr>
        <w:jc w:val="left"/>
      </w:pPr>
      <w:r>
        <w:t>Frankfurt am Main, 15. September 2024</w:t>
      </w:r>
    </w:p>
    <w:p/>
    <w:p>
      <w:pPr>
        <w:pStyle w:val="Heading2"/>
      </w:pPr>
      <w:r>
        <w:rPr>
          <w:rFonts w:ascii="Times New Roman" w:hAnsi="Times New Roman"/>
        </w:rPr>
        <w:t>In dem Ermittlungsverfahren</w:t>
      </w:r>
    </w:p>
    <w:p>
      <w:pPr>
        <w:jc w:val="left"/>
      </w:pPr>
      <w:r>
        <w:t>gegen</w:t>
      </w:r>
    </w:p>
    <w:p>
      <w:pPr>
        <w:jc w:val="left"/>
      </w:pPr>
      <w:r>
        <w:rPr>
          <w:b/>
        </w:rPr>
        <w:t>Sebastian Richter</w:t>
      </w:r>
      <w:r>
        <w:t>, geboren 07.05.1986 in Frankfurt am Main, Geschäftsführer der LUMEN Studios GmbH, Wohnsitz Westendstraße 47, 60325 Frankfurt am Main</w:t>
      </w:r>
    </w:p>
    <w:p>
      <w:pPr>
        <w:jc w:val="left"/>
      </w:pPr>
      <w:r>
        <w:t>— Beschuldigter —</w:t>
      </w:r>
    </w:p>
    <w:p>
      <w:pPr>
        <w:jc w:val="left"/>
      </w:pPr>
      <w:r>
        <w:t>sowie</w:t>
      </w:r>
    </w:p>
    <w:p>
      <w:pPr>
        <w:jc w:val="left"/>
      </w:pPr>
      <w:r>
        <w:rPr>
          <w:b/>
        </w:rPr>
        <w:t>Florian Weber</w:t>
      </w:r>
      <w:r>
        <w:t>, geboren 12.11.1991 in Aschaffenburg, Geschäftsführer der LUMEN Studios GmbH, Wohnsitz Hauptstraße 142, 63065 Offenbach am Main</w:t>
      </w:r>
    </w:p>
    <w:p>
      <w:pPr>
        <w:jc w:val="left"/>
      </w:pPr>
      <w:r>
        <w:t>— Beschuldigter —</w:t>
      </w:r>
    </w:p>
    <w:p>
      <w:pPr>
        <w:jc w:val="left"/>
      </w:pPr>
      <w:r>
        <w:t>wegen des Verdachts der</w:t>
      </w:r>
    </w:p>
    <w:p>
      <w:pPr>
        <w:jc w:val="left"/>
      </w:pPr>
      <w:r>
        <w:t xml:space="preserve">a) </w:t>
      </w:r>
      <w:r>
        <w:rPr>
          <w:b/>
        </w:rPr>
        <w:t>Insolvenz-Verschleppung gemäß § 15a Abs. 4 InsO</w:t>
      </w:r>
    </w:p>
    <w:p>
      <w:pPr>
        <w:jc w:val="left"/>
      </w:pPr>
      <w:r>
        <w:t xml:space="preserve">b) </w:t>
      </w:r>
      <w:r>
        <w:rPr>
          <w:b/>
        </w:rPr>
        <w:t>Verletzung der Buchführungspflicht gemäß § 283b Abs. 1 Nr. 1, Nr. 3a StGB</w:t>
      </w:r>
    </w:p>
    <w:p>
      <w:pPr>
        <w:jc w:val="left"/>
      </w:pPr>
      <w:r>
        <w:t xml:space="preserve">c) </w:t>
      </w:r>
      <w:r>
        <w:rPr>
          <w:b/>
        </w:rPr>
        <w:t>Bankrott gemäß § 283 Abs. 1 Nr. 1, Nr. 5 StGB (in Variante zu prüfen)</w:t>
      </w:r>
    </w:p>
    <w:p>
      <w:pPr>
        <w:jc w:val="left"/>
      </w:pPr>
      <w:r>
        <w:t>ergeht folgende</w:t>
      </w:r>
    </w:p>
    <w:p>
      <w:pPr>
        <w:pStyle w:val="Heading2"/>
      </w:pPr>
      <w:r>
        <w:rPr>
          <w:rFonts w:ascii="Times New Roman" w:hAnsi="Times New Roman"/>
        </w:rPr>
        <w:t>Einleitungsverfügung</w:t>
      </w:r>
    </w:p>
    <w:p>
      <w:pPr>
        <w:jc w:val="left"/>
      </w:pPr>
      <w:r>
        <w:t>I. Aufgrund der Mitteilung des Amtsgerichts Frankfurt am Main vom 30.07.2024 (Az. 810 IN 245/24) wird gegen die Beschuldigten Sebastian Richter und Florian Weber ein Ermittlungsverfahren wegen der eingangs genannten Straftaten eingeleitet.</w:t>
      </w:r>
    </w:p>
    <w:p>
      <w:pPr>
        <w:jc w:val="left"/>
      </w:pPr>
      <w:r>
        <w:t>II. Sachbearbeiterin: StAin Dr. Petersen, Telefon 069 / 1367-5742, E-Mail petersen.stafrm@stafrm.justiz.hessen.de</w:t>
      </w:r>
    </w:p>
    <w:p>
      <w:pPr>
        <w:jc w:val="left"/>
      </w:pPr>
      <w:r>
        <w:t>III. Folgende Ermittlungsmaßnahmen werden veranlasst:</w:t>
      </w:r>
    </w:p>
    <w:p>
      <w:pPr>
        <w:pStyle w:val="ListNumber"/>
      </w:pPr>
      <w:r>
        <w:rPr>
          <w:b/>
        </w:rPr>
        <w:t>Vernehmung der vorläufigen Insolvenzverwalterin RAin Dr. Claudia Bergmann</w:t>
      </w:r>
      <w:r>
        <w:t xml:space="preserve"> als Zeugin gemäß § 161a StPO; Termin wird durch Geschäftsstelle vereinbart, voraussichtlich KW 41/2024;</w:t>
      </w:r>
    </w:p>
    <w:p>
      <w:pPr>
        <w:pStyle w:val="ListNumber"/>
      </w:pPr>
      <w:r>
        <w:rPr>
          <w:b/>
        </w:rPr>
        <w:t>Vernehmung des bisherigen Steuerberaters StB Wolfgang Hartmann</w:t>
      </w:r>
      <w:r>
        <w:t xml:space="preserve"> (Hartmann &amp; Partner Steuerberater mbB, Kettenhofweg 78, 60325 Frankfurt am Main) als Zeuge gemäß § 161a StPO, vorbehaltlich Entbindung von der beruflichen Schweigepflicht gemäß § 53 StPO durch die Schuldnerin (vermutlich nicht zu erwarten — Anhörung der Geschäftsführer hierüber);</w:t>
      </w:r>
    </w:p>
    <w:p>
      <w:pPr>
        <w:pStyle w:val="ListNumber"/>
      </w:pPr>
      <w:r>
        <w:rPr>
          <w:b/>
        </w:rPr>
        <w:t>Vernehmung des Firmenkundenbetreuers Herrn Achim Hagen-Schwarz</w:t>
      </w:r>
      <w:r>
        <w:t xml:space="preserve"> (Sparkasse Frankfurt, Hauptstraße 12, 60311 Frankfurt am Main) als Zeuge gemäß § 161a StPO;</w:t>
      </w:r>
    </w:p>
    <w:p>
      <w:pPr>
        <w:pStyle w:val="ListNumber"/>
      </w:pPr>
      <w:r>
        <w:rPr>
          <w:b/>
        </w:rPr>
        <w:t>Anforderung der Akten 810 IN 245/24</w:t>
      </w:r>
      <w:r>
        <w:t xml:space="preserve"> vom Amtsgericht Frankfurt am Main einschließlich des Gutachtens RAin Dr. Bergmann vom 18.07.2024;</w:t>
      </w:r>
    </w:p>
    <w:p>
      <w:pPr>
        <w:pStyle w:val="ListNumber"/>
      </w:pPr>
      <w:r>
        <w:rPr>
          <w:b/>
        </w:rPr>
        <w:t>Aufforderung an die Schuldnerin / die Geschäftsführer</w:t>
      </w:r>
      <w:r>
        <w:t xml:space="preserve"> zur Vorlage der Buchhaltungs-Unterlagen 2023 und 2024;</w:t>
      </w:r>
    </w:p>
    <w:p>
      <w:pPr>
        <w:pStyle w:val="ListNumber"/>
      </w:pPr>
      <w:r>
        <w:rPr>
          <w:b/>
        </w:rPr>
        <w:t>Anhörungsbogen</w:t>
      </w:r>
      <w:r>
        <w:t xml:space="preserve"> an beide Beschuldigte mit Belehrung gemäß § 163a StPO;</w:t>
      </w:r>
    </w:p>
    <w:p>
      <w:pPr>
        <w:pStyle w:val="ListNumber"/>
      </w:pPr>
      <w:r>
        <w:rPr>
          <w:b/>
        </w:rPr>
        <w:t>Anforderung BZR-Auszüge</w:t>
      </w:r>
      <w:r>
        <w:t xml:space="preserve"> beider Beschuldigter;</w:t>
      </w:r>
    </w:p>
    <w:p>
      <w:pPr>
        <w:pStyle w:val="ListNumber"/>
      </w:pPr>
      <w:r>
        <w:rPr>
          <w:b/>
        </w:rPr>
        <w:t>Anforderung Handelsregister-Auszug</w:t>
      </w:r>
      <w:r>
        <w:t xml:space="preserve"> HRB 119845;</w:t>
      </w:r>
    </w:p>
    <w:p>
      <w:pPr>
        <w:pStyle w:val="ListNumber"/>
      </w:pPr>
      <w:r>
        <w:rPr>
          <w:b/>
        </w:rPr>
        <w:t>Anfrage Finanzamt Frankfurt I</w:t>
      </w:r>
      <w:r>
        <w:t xml:space="preserve"> auf Übersendung der USt-Vorauszahlungs- und Lohnsteuer-Anmeldungen 2023/2024 sowie etwaiger Steuerprüfungs-Akten.</w:t>
      </w:r>
    </w:p>
    <w:p>
      <w:pPr>
        <w:jc w:val="left"/>
      </w:pPr>
      <w:r>
        <w:t>IV. Die Akten werden derzeit nicht den Beschuldigten überlassen (§ 147 Abs. 2 StPO — laufende Ermittlungen). Eine Akteneinsicht durch Verteidiger wird nach Eintritt der jeweiligen Voraussetzungen geprüft.</w:t>
      </w:r>
    </w:p>
    <w:p>
      <w:pPr>
        <w:jc w:val="left"/>
      </w:pPr>
      <w:r>
        <w:t>V. Über die Einleitung des Verfahrens werden die Beschuldigten formlos in Kenntnis gesetzt (Anhörungsbogen). Ein Pflichtverteidiger ist mangels Vorliegen der Voraussetzungen des § 140 StPO nicht zu bestellen.</w:t>
      </w:r>
    </w:p>
    <w:p>
      <w:pPr>
        <w:pStyle w:val="Heading2"/>
      </w:pPr>
      <w:r>
        <w:rPr>
          <w:rFonts w:ascii="Times New Roman" w:hAnsi="Times New Roman"/>
        </w:rPr>
        <w:t>Tatverdacht im Einzelnen</w:t>
      </w:r>
    </w:p>
    <w:p>
      <w:pPr>
        <w:pStyle w:val="Heading3"/>
      </w:pPr>
      <w:r>
        <w:rPr>
          <w:rFonts w:ascii="Times New Roman" w:hAnsi="Times New Roman"/>
        </w:rPr>
        <w:t>A. Tatverdacht § 283b StGB (Verletzung der Buchführungspflicht)</w:t>
      </w:r>
    </w:p>
    <w:p>
      <w:pPr>
        <w:jc w:val="left"/>
      </w:pPr>
      <w:r>
        <w:t>Nach Aktenlage besteht der Anfangsverdacht, dass</w:t>
      </w:r>
    </w:p>
    <w:p>
      <w:pPr>
        <w:pStyle w:val="ListBullet"/>
      </w:pPr>
      <w:r>
        <w:t>die Geschäftsführer der LUMEN Studios GmbH ab dem 01.10.2023 keine ordnungsgemäße Buchführung mehr geführt haben (Mandatsniederlegung des bisherigen Steuerberaters StB Hartmann am 22.11.2023; kein Nachfolge-Mandat begründet);</w:t>
      </w:r>
    </w:p>
    <w:p>
      <w:pPr>
        <w:pStyle w:val="ListBullet"/>
      </w:pPr>
      <w:r>
        <w:t>die Bilanz zum 31.12.2023 sowie der Jahresabschluss 2023 nicht erstellt wurden (Aufstellungs-Frist § 264 Abs. 1 Satz 4 HGB drei Monate, also bis 31.03.2024 — überschritten);</w:t>
      </w:r>
    </w:p>
    <w:p>
      <w:pPr>
        <w:pStyle w:val="ListBullet"/>
      </w:pPr>
      <w:r>
        <w:t>Inventur und Inventar zum 31.12.2023 nicht angefertigt wurden;</w:t>
      </w:r>
    </w:p>
    <w:p>
      <w:pPr>
        <w:pStyle w:val="ListBullet"/>
      </w:pPr>
      <w:r>
        <w:t>die Übersichtlichkeit der Vermögenslage erheblich beeinträchtigt ist (gemäß Gutachten RAin Dr. Bergmann);</w:t>
      </w:r>
    </w:p>
    <w:p>
      <w:pPr>
        <w:pStyle w:val="ListBullet"/>
      </w:pPr>
      <w:r>
        <w:t>die Zahlungsunfähigkeit zum 22.05.2024 vorliegt.</w:t>
      </w:r>
    </w:p>
    <w:p>
      <w:pPr>
        <w:jc w:val="left"/>
      </w:pPr>
      <w:r>
        <w:t xml:space="preserve">Die Tatbestandsmerkmale des § 283b Abs. 1 Nr. 1 und Nr. 3a StGB erscheinen erfüllt. Die strafbarkeits-relevante Verbindung mit dem Insolvenzeintritt (= Tatbestand der </w:t>
      </w:r>
      <w:r>
        <w:rPr>
          <w:b/>
        </w:rPr>
        <w:t>objektiven Bedingung der Strafbarkeit</w:t>
      </w:r>
      <w:r>
        <w:t>, § 283b Abs. 3 iVm § 283 Abs. 6 StGB) ist durch den Eintritt der Zahlungsunfähigkeit und die Abweisung mangels Masse gegeben.</w:t>
      </w:r>
    </w:p>
    <w:p>
      <w:pPr>
        <w:pStyle w:val="Heading3"/>
      </w:pPr>
      <w:r>
        <w:rPr>
          <w:rFonts w:ascii="Times New Roman" w:hAnsi="Times New Roman"/>
        </w:rPr>
        <w:t>B. Tatverdacht § 15a Abs. 4 InsO (Insolvenz-Verschleppung)</w:t>
      </w:r>
    </w:p>
    <w:p>
      <w:pPr>
        <w:jc w:val="left"/>
      </w:pPr>
      <w:r>
        <w:t>Die Zahlungsunfähigkeit ist nach Befund der vorläufigen Insolvenzverwalterin spätestens Anfang Mai 2024 eingetreten. Der Antrag des Mitgeschäftsführers Weber vom 22.05.2024 hält die Drei-Wochen-Frist möglicherweise nicht ein. Bei Mitgeschäftsführer Richter ist der Vorwurf der nicht-Antragstellung jedenfalls naheliegend, da er auf den Antrag des Mitgeschäftsführers mit einer Forderung nach Rücknahme reagiert hat, statt selbst (gegebenenfalls hilfsweise) Antrag zu stellen.</w:t>
      </w:r>
    </w:p>
    <w:p>
      <w:pPr>
        <w:pStyle w:val="Heading3"/>
      </w:pPr>
      <w:r>
        <w:rPr>
          <w:rFonts w:ascii="Times New Roman" w:hAnsi="Times New Roman"/>
        </w:rPr>
        <w:t>C. Tatverdacht § 283 StGB (Bankrott — zu prüfen)</w:t>
      </w:r>
    </w:p>
    <w:p>
      <w:pPr>
        <w:jc w:val="left"/>
      </w:pPr>
      <w:r>
        <w:t xml:space="preserve">Eine direkte Verminderung der Aktivmasse (Beiseiteschaffen, Vernichten, Beschädigen, Unbrauchbarmachen) ist derzeit nicht erkennbar. Die mangelhafte Buchführung allein begründet </w:t>
      </w:r>
      <w:r>
        <w:rPr>
          <w:b/>
        </w:rPr>
        <w:t>§ 283b StGB</w:t>
      </w:r>
      <w:r>
        <w:t xml:space="preserve"> und nicht ohne weiteres § 283 StGB. Die Frage einer Aktivmasse-Verschiebung (z.B. ungerechtfertigte Entnahmen, verdeckte Gewinnausschüttungen, "letzte Zahlungen an einzelne Gläubiger") ist im Rahmen der Vernehmung der vorläufigen Insolvenzverwalterin und der Sichtung der Bankauszüge zu klären.</w:t>
      </w:r>
    </w:p>
    <w:p>
      <w:pPr>
        <w:pStyle w:val="Heading3"/>
      </w:pPr>
      <w:r>
        <w:rPr>
          <w:rFonts w:ascii="Times New Roman" w:hAnsi="Times New Roman"/>
        </w:rPr>
        <w:t>D. Verteidiger</w:t>
      </w:r>
    </w:p>
    <w:p>
      <w:pPr>
        <w:jc w:val="left"/>
      </w:pPr>
      <w:r>
        <w:t>Die Beschuldigten werden über ihr Recht auf Beizug eines Verteidigers (§ 137 StPO) belehrt. Eine Pflichtverteidiger-Bestellung ist derzeit nicht angezeigt (§ 140 StPO).</w:t>
      </w:r>
    </w:p>
    <w:p/>
    <w:p>
      <w:pPr>
        <w:jc w:val="left"/>
      </w:pPr>
      <w:r>
        <w:rPr>
          <w:b/>
        </w:rPr>
        <w:t>Verfügung:</w:t>
      </w:r>
    </w:p>
    <w:p>
      <w:pPr>
        <w:pStyle w:val="ListNumber"/>
      </w:pPr>
      <w:r>
        <w:t>Anhörungsbogen an beide Beschuldigte versenden (Frist 4 Wochen).</w:t>
      </w:r>
    </w:p>
    <w:p>
      <w:pPr>
        <w:pStyle w:val="ListNumber"/>
      </w:pPr>
      <w:r>
        <w:t>Vernehmungstermine RAin Bergmann und Herr Hagen-Schwarz vereinbaren.</w:t>
      </w:r>
    </w:p>
    <w:p>
      <w:pPr>
        <w:pStyle w:val="ListNumber"/>
      </w:pPr>
      <w:r>
        <w:t>Akten 810 IN 245/24 vom AG Frankfurt anfordern.</w:t>
      </w:r>
    </w:p>
    <w:p>
      <w:pPr>
        <w:pStyle w:val="ListNumber"/>
      </w:pPr>
      <w:r>
        <w:t>BZR-Auszüge anfordern.</w:t>
      </w:r>
    </w:p>
    <w:p>
      <w:pPr>
        <w:pStyle w:val="ListNumber"/>
      </w:pPr>
      <w:r>
        <w:t>Wiedervorlage nach Eingang der Anhörungsbogen-Antworten oder nach 4 Wochen.</w:t>
      </w:r>
    </w:p>
    <w:p>
      <w:pPr>
        <w:jc w:val="left"/>
      </w:pPr>
      <w:r>
        <w:t>gez. Dr. Karin Petersen</w:t>
      </w:r>
    </w:p>
    <w:p>
      <w:pPr>
        <w:jc w:val="left"/>
      </w:pPr>
      <w:r>
        <w:t>Staatsanwältin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