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Einspruch gegen den Strafbefehl</w:t>
      </w:r>
    </w:p>
    <w:p>
      <w:pPr>
        <w:jc w:val="left"/>
      </w:pPr>
      <w:r>
        <w:rPr>
          <w:b/>
        </w:rPr>
        <w:t>Prof. Dr. Markus Steinbach</w:t>
      </w:r>
    </w:p>
    <w:p>
      <w:pPr>
        <w:jc w:val="left"/>
      </w:pPr>
      <w:r>
        <w:t>Rechtsanwalt — Fachanwalt für Strafrecht</w:t>
      </w:r>
    </w:p>
    <w:p>
      <w:pPr>
        <w:jc w:val="left"/>
      </w:pPr>
      <w:r>
        <w:t>Steinbach &amp; Steinbach Rechtsanwälte Partnerschaft mbB</w:t>
      </w:r>
    </w:p>
    <w:p>
      <w:pPr>
        <w:jc w:val="left"/>
      </w:pPr>
      <w:r>
        <w:t>Bockenheimer Landstraße 102 · 60323 Frankfurt am Main</w:t>
      </w:r>
    </w:p>
    <w:p>
      <w:pPr>
        <w:jc w:val="left"/>
      </w:pPr>
      <w:r>
        <w:t>Telefon 069 / 71 03 47 18 · Telefax 069 / 71 03 47 19</w:t>
      </w:r>
    </w:p>
    <w:p>
      <w:pPr>
        <w:jc w:val="left"/>
      </w:pPr>
      <w:r>
        <w:t>beA: SAFE-ID DE.34985.SteinbachM.x</w:t>
      </w:r>
    </w:p>
    <w:p>
      <w:pPr>
        <w:jc w:val="left"/>
      </w:pPr>
      <w:r>
        <w:t>An das Amtsgericht Frankfurt am Main</w:t>
      </w:r>
    </w:p>
    <w:p>
      <w:pPr>
        <w:jc w:val="left"/>
      </w:pPr>
      <w:r>
        <w:t>Strafabteilung</w:t>
      </w:r>
    </w:p>
    <w:p>
      <w:pPr>
        <w:jc w:val="left"/>
      </w:pPr>
      <w:r>
        <w:t>Konrad-Adenauer-Straße 20</w:t>
      </w:r>
    </w:p>
    <w:p>
      <w:pPr>
        <w:jc w:val="left"/>
      </w:pPr>
      <w:r>
        <w:t>60313 Frankfurt am Main</w:t>
      </w:r>
    </w:p>
    <w:p>
      <w:pPr>
        <w:jc w:val="left"/>
      </w:pPr>
      <w:r>
        <w:t>Per beA — Frankfurt am Main, den 29. Januar 2025</w:t>
      </w:r>
    </w:p>
    <w:p/>
    <w:p>
      <w:pPr>
        <w:pStyle w:val="Heading2"/>
      </w:pPr>
      <w:r>
        <w:rPr>
          <w:rFonts w:ascii="Times New Roman" w:hAnsi="Times New Roman"/>
        </w:rPr>
        <w:t>In der Strafsache</w:t>
      </w:r>
    </w:p>
    <w:p>
      <w:pPr>
        <w:jc w:val="left"/>
      </w:pPr>
      <w:r>
        <w:t>gegen Herrn Sebastian Richter, Westendstraße 47, 60325 Frankfurt am Main</w:t>
      </w:r>
    </w:p>
    <w:p>
      <w:pPr>
        <w:jc w:val="left"/>
      </w:pPr>
      <w:r>
        <w:t xml:space="preserve">Aktenzeichen: </w:t>
      </w:r>
      <w:r>
        <w:rPr>
          <w:b/>
        </w:rPr>
        <w:t>933 Cs 78/25</w:t>
      </w:r>
    </w:p>
    <w:p>
      <w:pPr>
        <w:jc w:val="left"/>
      </w:pPr>
      <w:r>
        <w:t>zeige ich an, dass ich den Angeklagten — den ich seit dem 16.01.2025 mandatiert habe — vertrete. Vollmacht ist beigefügt (Anlage E1).</w:t>
      </w:r>
    </w:p>
    <w:p>
      <w:pPr>
        <w:jc w:val="left"/>
      </w:pPr>
      <w:r>
        <w:t>Für meinen Mandanten lege ich gegen den Strafbefehl der Frau Richterin am Amtsgericht Bäumler vom 15.01.2025, zugestellt am 17.01.2025, fristwahrend</w:t>
      </w:r>
    </w:p>
    <w:p>
      <w:pPr>
        <w:pStyle w:val="Heading2"/>
      </w:pPr>
      <w:r>
        <w:rPr>
          <w:rFonts w:ascii="Times New Roman" w:hAnsi="Times New Roman"/>
        </w:rPr>
        <w:t>Einspruch</w:t>
      </w:r>
    </w:p>
    <w:p>
      <w:pPr>
        <w:jc w:val="left"/>
      </w:pPr>
      <w:r>
        <w:t>ein. Der Einspruch ist nicht beschränkt; er richtet sich gegen den Schuld- und Strafausspruch insgesamt.</w:t>
      </w:r>
    </w:p>
    <w:p>
      <w:pPr>
        <w:jc w:val="left"/>
      </w:pPr>
      <w:r>
        <w:t>Eine Einspruchs-Begründung folgt mit gesondertem Schriftsatz. Vorab darf ich folgendes vortragen, um die wesentlichen Verteidigungs-Linien zu skizzieren:</w:t>
      </w:r>
    </w:p>
    <w:p>
      <w:pPr>
        <w:pStyle w:val="Heading3"/>
      </w:pPr>
      <w:r>
        <w:rPr>
          <w:rFonts w:ascii="Times New Roman" w:hAnsi="Times New Roman"/>
        </w:rPr>
        <w:t>1. Sachlicher Hintergrund</w:t>
      </w:r>
    </w:p>
    <w:p>
      <w:pPr>
        <w:jc w:val="left"/>
      </w:pPr>
      <w:r>
        <w:t xml:space="preserve">Mein Mandant bestreitet weder die Existenz der internen Aufgabenteilung noch die Mandatsniederlegung des Steuerberaters Herrn Hartmann am 22.11.2023. Er bestreitet jedoch den Vorwurf des </w:t>
      </w:r>
      <w:r>
        <w:rPr>
          <w:b/>
        </w:rPr>
        <w:t>Vorsatzes</w:t>
      </w:r>
      <w:r>
        <w:t xml:space="preserve"> bezüglich der Buchführungs-Verletzung.</w:t>
      </w:r>
    </w:p>
    <w:p>
      <w:pPr>
        <w:jc w:val="left"/>
      </w:pPr>
      <w:r>
        <w:t>Mein Mandant hat ab Oktober 2023 in Eigenregie Aufzeichnungen geführt (Microsoft Excel mit ca. 1.840 Buchungs-Zeilen für den Zeitraum Q4 2023 bis Q1 2024). Diese Aufzeichnungen wurden der vorläufigen Insolvenzverwalterin im Rahmen der Ermittlungen vorgelegt; sie sind in der Akte erfasst (Aktenanlage 23). Sie genügen zwar nicht den vollen Anforderungen einer ordnungsgemäßen DATEV-Buchführung, dokumentieren aber Geschäftsvorgänge in einer Weise, die den Vermögensstand grundsätzlich nachvollziehbar werden lässt.</w:t>
      </w:r>
    </w:p>
    <w:p>
      <w:pPr>
        <w:jc w:val="left"/>
      </w:pPr>
      <w:r>
        <w:t>Mein Mandant hat sich nach der Mandatsniederlegung von Herrn Hartmann an drei verschiedene potentielle Nachfolge-Steuerberater gewandt:</w:t>
      </w:r>
    </w:p>
    <w:p>
      <w:pPr>
        <w:pStyle w:val="ListBullet"/>
      </w:pPr>
      <w:r>
        <w:t>StB Heiner Wendlitz (Abgesagt am 04.12.2023 wegen Auslastung)</w:t>
      </w:r>
    </w:p>
    <w:p>
      <w:pPr>
        <w:pStyle w:val="ListBullet"/>
      </w:pPr>
      <w:r>
        <w:t>StB Anna Krammer (Erstgespräch 12.01.2024; Mandat scheiterte am Honorarvorschuss-Anforderung in einer für die Gesellschaft nicht bezahlbaren Höhe)</w:t>
      </w:r>
    </w:p>
    <w:p>
      <w:pPr>
        <w:pStyle w:val="ListBullet"/>
      </w:pPr>
      <w:r>
        <w:t>StB Lars Petermann (Erstgespräch 28.02.2024; Mandat-Vorbereitung zog sich bis April 2024, ist aber wegen Insolvenz nicht zustande gekommen)</w:t>
      </w:r>
    </w:p>
    <w:p>
      <w:pPr>
        <w:jc w:val="left"/>
      </w:pPr>
      <w:r>
        <w:t>Eine entsprechende Korrespondenz wird mit der Begründung des Einspruchs vorgelegt werden.</w:t>
      </w:r>
    </w:p>
    <w:p>
      <w:pPr>
        <w:pStyle w:val="Heading3"/>
      </w:pPr>
      <w:r>
        <w:rPr>
          <w:rFonts w:ascii="Times New Roman" w:hAnsi="Times New Roman"/>
        </w:rPr>
        <w:t>2. Rechtliche Bewertung</w:t>
      </w:r>
    </w:p>
    <w:p>
      <w:pPr>
        <w:jc w:val="left"/>
      </w:pPr>
      <w:r>
        <w:t>Die Tatbestandsmerkmale des § 283b Abs. 1 Nr. 1 StGB ("nicht-, nicht-richtig oder nicht-rechtzeitig führen") sind tatbestandlich erfüllt, soweit eine systematische, geordnete und nachvollziehbare Buchführung im Sinne §§ 238 ff. HGB nicht stattgefunden hat. Die durch meinen Mandanten geführten Excel-Aufzeichnungen erfüllen diese Anforderungen nur teilweise.</w:t>
      </w:r>
    </w:p>
    <w:p>
      <w:pPr>
        <w:jc w:val="left"/>
      </w:pPr>
      <w:r>
        <w:t xml:space="preserve">Aber die </w:t>
      </w:r>
      <w:r>
        <w:rPr>
          <w:b/>
        </w:rPr>
        <w:t>subjektive Tatseite</w:t>
      </w:r>
      <w:r>
        <w:t xml:space="preserve"> (Vorsatz, mindestens dolus eventualis) ist nach unserer Auffassung nicht erfüllt:</w:t>
      </w:r>
    </w:p>
    <w:p>
      <w:pPr>
        <w:pStyle w:val="ListBullet"/>
      </w:pPr>
      <w:r>
        <w:t>Mein Mandant wusste um die Mandatsniederlegung des Steuerberaters und hat aktiv nach Nachfolge gesucht.</w:t>
      </w:r>
    </w:p>
    <w:p>
      <w:pPr>
        <w:pStyle w:val="ListBullet"/>
      </w:pPr>
      <w:r>
        <w:t>Er hat in dieser Übergangsphase eigenständig Buchungs-Aufzeichnungen geführt.</w:t>
      </w:r>
    </w:p>
    <w:p>
      <w:pPr>
        <w:pStyle w:val="ListBullet"/>
      </w:pPr>
      <w:r>
        <w:t>Eine bewusst-billigend-in-Kauf-genommene Verletzung der Buchführungs-Pflicht liegt nicht vor; er hat vielmehr in Erwartung der baldigen Bestellung eines Nachfolgers das Beste versucht.</w:t>
      </w:r>
    </w:p>
    <w:p>
      <w:pPr>
        <w:pStyle w:val="ListBullet"/>
      </w:pPr>
      <w:r>
        <w:t>Die Vorwurfs-Begründung im Strafbefehl, mein Mandant habe "gewusst, dass ein Steuerberater fehlt, dass keine Software-gestützte Buchführung läuft, und nicht für eine ordnungsgemäße Buchführung gesorgt", verkennt diese aktive Übergangs-Bemühung.</w:t>
      </w:r>
    </w:p>
    <w:p>
      <w:pPr>
        <w:pStyle w:val="Heading3"/>
      </w:pPr>
      <w:r>
        <w:rPr>
          <w:rFonts w:ascii="Times New Roman" w:hAnsi="Times New Roman"/>
        </w:rPr>
        <w:t>3. Strafzumessung</w:t>
      </w:r>
    </w:p>
    <w:p>
      <w:pPr>
        <w:jc w:val="left"/>
      </w:pPr>
      <w:r>
        <w:t>Hilfsweise, für den Fall, dass das Gericht zu einer Verurteilung gelangt, ist die Strafzumessung deutlich zu reduzieren:</w:t>
      </w:r>
    </w:p>
    <w:p>
      <w:pPr>
        <w:pStyle w:val="ListBullet"/>
      </w:pPr>
      <w:r>
        <w:t>90 Tagessätze sind als Eingangs-Strafe für einen Erst-Verurteilten ohne konkrete Schadensbezifferung deutlich überhöht.</w:t>
      </w:r>
    </w:p>
    <w:p>
      <w:pPr>
        <w:pStyle w:val="ListBullet"/>
      </w:pPr>
      <w:r>
        <w:t>Vergleichbare Fälle in der Frankfurter Rechtsprechung enden regelmäßig bei 30 bis 60 Tagessätzen.</w:t>
      </w:r>
    </w:p>
    <w:p>
      <w:pPr>
        <w:pStyle w:val="ListBullet"/>
      </w:pPr>
      <w:r>
        <w:t>Mein Mandant ist nicht vorbestraft, hat im Verfahren mitgewirkt (Aussagen gegenüber der Insolvenzverwalterin und Vorlage der Excel-Aufzeichnungen) und hat keinen direkten Schaden gestiftet (der Vermögensverlust der Gläubiger resultiert aus der schlechten wirtschaftlichen Lage, nicht aus der Buchführungs-Lage).</w:t>
      </w:r>
    </w:p>
    <w:p>
      <w:pPr>
        <w:jc w:val="left"/>
      </w:pPr>
      <w:r>
        <w:t>Die Tagessatzhöhe von EUR 80,00 ist ebenfalls nicht zutreffend; mein Mandant hat seit Insolvenz der LUMEN Studios GmbH keine geregelten Einkünfte mehr und arbeitet derzeit als Freelancer mit einem geschätzten Netto-Einkommen von ca. EUR 1.800 bis EUR 2.100 monatlich. Eine Tagessatzhöhe von EUR 50,00 bis EUR 60,00 wäre sachgerecht.</w:t>
      </w:r>
    </w:p>
    <w:p>
      <w:pPr>
        <w:pStyle w:val="Heading3"/>
      </w:pPr>
      <w:r>
        <w:rPr>
          <w:rFonts w:ascii="Times New Roman" w:hAnsi="Times New Roman"/>
        </w:rPr>
        <w:t>4. Verfahrens-Anregungen</w:t>
      </w:r>
    </w:p>
    <w:p>
      <w:pPr>
        <w:jc w:val="left"/>
      </w:pPr>
      <w:r>
        <w:t xml:space="preserve">Hilfsweise rege ich eine Einstellung des Verfahrens nach </w:t>
      </w:r>
      <w:r>
        <w:rPr>
          <w:b/>
        </w:rPr>
        <w:t>§ 153a StPO</w:t>
      </w:r>
      <w:r>
        <w:t xml:space="preserve"> an. Eine Geldauflage in einer Höhe von etwa EUR 2.500 zugunsten einer gemeinnützigen Einrichtung erscheint dem Ermittlungsergebnis und dem Schuldgrad angemessen. Eine entsprechende Bereitschaft meines Mandanten ist gegeben.</w:t>
      </w:r>
    </w:p>
    <w:p>
      <w:pPr>
        <w:jc w:val="left"/>
      </w:pPr>
      <w:r>
        <w:t>Hilfsweise zur Hauptverhandlung beantrage ich, eine zeitnahe Terminierung. Mein Mandant befindet sich in einer beruflichen und persönlichen Neuorientierungs-Phase und hat ein erhebliches Interesse an raschem Abschluss des Verfahrens.</w:t>
      </w:r>
    </w:p>
    <w:p>
      <w:pPr>
        <w:pStyle w:val="Heading3"/>
      </w:pPr>
      <w:r>
        <w:rPr>
          <w:rFonts w:ascii="Times New Roman" w:hAnsi="Times New Roman"/>
        </w:rPr>
        <w:t>5. Beweisanträge</w:t>
      </w:r>
    </w:p>
    <w:p>
      <w:pPr>
        <w:jc w:val="left"/>
      </w:pPr>
      <w:r>
        <w:t>Vorab benenne ich folgende Beweisangebote:</w:t>
      </w:r>
    </w:p>
    <w:p>
      <w:pPr>
        <w:pStyle w:val="ListBullet"/>
      </w:pPr>
      <w:r>
        <w:t>Aussage des potentiellen Nachfolge-Steuerberaters StB Lars Petermann (Adresse folgt) zur Erklärung der Übergangs-Bemühungen meines Mandanten;</w:t>
      </w:r>
    </w:p>
    <w:p>
      <w:pPr>
        <w:pStyle w:val="ListBullet"/>
      </w:pPr>
      <w:r>
        <w:t>Aussage der externen Lohnbuchhalterin Frau Andrea Sturm (Adresse Anlage E2) zur Information über die laufenden Bemühungen meines Mandanten;</w:t>
      </w:r>
    </w:p>
    <w:p>
      <w:pPr>
        <w:pStyle w:val="ListBullet"/>
      </w:pPr>
      <w:r>
        <w:t>Vorlage der Excel-Buchungs-Aufzeichnungen Q4 2023 bis Mai 2024 (Anlage E3);</w:t>
      </w:r>
    </w:p>
    <w:p>
      <w:pPr>
        <w:pStyle w:val="ListBullet"/>
      </w:pPr>
      <w:r>
        <w:t>Vorlage der Korrespondenz mit den drei potentiellen Nachfolge-Steuerberatern (Anlage E4).</w:t>
      </w:r>
    </w:p>
    <w:p>
      <w:pPr>
        <w:pStyle w:val="Heading3"/>
      </w:pPr>
      <w:r>
        <w:rPr>
          <w:rFonts w:ascii="Times New Roman" w:hAnsi="Times New Roman"/>
        </w:rPr>
        <w:t>6. Akteneinsicht</w:t>
      </w:r>
    </w:p>
    <w:p>
      <w:pPr>
        <w:jc w:val="left"/>
      </w:pPr>
      <w:r>
        <w:t>Ich beantrage Akteneinsicht in die Verfahrensakten, insbesondere in die Akten 810 IN 245/24 (Insolvenzeröffnungsverfahren AG Frankfurt) sowie 930 Js 1147/24 (Ermittlungs-Akten StA Frankfurt). Eine ausführliche Stellungnahme wird nach Akteneinsicht eingereicht.</w:t>
      </w:r>
    </w:p>
    <w:p>
      <w:pPr>
        <w:jc w:val="left"/>
      </w:pPr>
      <w:r>
        <w:t>Eine Frist von 6 Wochen ab Akteneinsicht für die Einreichung der ausführlichen Begründung erscheint angemessen.</w:t>
      </w:r>
    </w:p>
    <w:p/>
    <w:p>
      <w:pPr>
        <w:jc w:val="left"/>
      </w:pPr>
      <w:r>
        <w:t>Mit kollegialen Grüßen</w:t>
      </w:r>
    </w:p>
    <w:p>
      <w:pPr>
        <w:jc w:val="left"/>
      </w:pPr>
      <w:r>
        <w:t>_Prof. Dr. Markus Steinbach_</w:t>
      </w:r>
    </w:p>
    <w:p>
      <w:pPr>
        <w:jc w:val="left"/>
      </w:pPr>
      <w:r>
        <w:t>Rechtsanwalt</w:t>
      </w:r>
    </w:p>
    <w:p>
      <w:pPr>
        <w:jc w:val="left"/>
      </w:pPr>
      <w:r>
        <w:t>Fachanwalt für Strafrecht</w:t>
      </w:r>
    </w:p>
    <w:p/>
    <w:p>
      <w:pPr>
        <w:jc w:val="left"/>
      </w:pPr>
      <w:r>
        <w:rPr>
          <w:b/>
        </w:rPr>
        <w:t>Anlagen:</w:t>
      </w:r>
    </w:p>
    <w:p>
      <w:pPr>
        <w:pStyle w:val="ListBullet"/>
      </w:pPr>
      <w:r>
        <w:t>E1: Vollmacht des Mandanten Sebastian Richter</w:t>
      </w:r>
    </w:p>
    <w:p>
      <w:pPr>
        <w:pStyle w:val="ListBullet"/>
      </w:pPr>
      <w:r>
        <w:t>E2: Liste der Beweisangebote mit Adressen</w:t>
      </w:r>
    </w:p>
    <w:p>
      <w:pPr>
        <w:pStyle w:val="ListBullet"/>
      </w:pPr>
      <w:r>
        <w:t>E3: Excel-Buchungs-Aufzeichnungen Q4 2023 bis Mai 2024 (USB-Stick, verschlüsselt — Passwort per separater Mitteilung)</w:t>
      </w:r>
    </w:p>
    <w:p>
      <w:pPr>
        <w:pStyle w:val="ListBullet"/>
      </w:pPr>
      <w:r>
        <w:t>E4: Korrespondenz mit den drei potentiellen Nachfolge-Steuerberatern (StB Wendlitz, StB Krammer, StB Petermann)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