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Letter of Intent (LOI) und Term Sheet</w:t>
      </w:r>
    </w:p>
    <w:p>
      <w:pPr>
        <w:jc w:val="left"/>
      </w:pPr>
      <w:r>
        <w:rPr>
          <w:b/>
        </w:rPr>
        <w:t>Datum:</w:t>
      </w:r>
      <w:r>
        <w:t xml:space="preserve"> 10. November 2025</w:t>
      </w:r>
    </w:p>
    <w:p>
      <w:pPr>
        <w:jc w:val="left"/>
      </w:pPr>
      <w:r>
        <w:rPr>
          <w:b/>
        </w:rPr>
        <w:t>Bearbeiter:</w:t>
      </w:r>
      <w:r>
        <w:t xml:space="preserve"> RA Prof. Dr. Felix Mannfeldt, RAin Dr. Antonia von Wesselburen</w:t>
      </w:r>
    </w:p>
    <w:p>
      <w:pPr>
        <w:jc w:val="left"/>
      </w:pPr>
      <w:r>
        <w:rPr>
          <w:b/>
        </w:rPr>
        <w:t>Status:</w:t>
      </w:r>
      <w:r>
        <w:t xml:space="preserve"> Unterzeichnet von beiden Seiten</w:t>
      </w:r>
    </w:p>
    <w:p/>
    <w:p>
      <w:pPr>
        <w:pStyle w:val="Heading2"/>
      </w:pPr>
      <w:r>
        <w:rPr>
          <w:rFonts w:ascii="Times New Roman" w:hAnsi="Times New Roman"/>
        </w:rPr>
        <w:t>1. Hintergrund</w:t>
      </w:r>
    </w:p>
    <w:p>
      <w:pPr>
        <w:jc w:val="left"/>
      </w:pPr>
      <w:r>
        <w:t>Nach Freischaltung des Datenraums und ersten Sichtungsgesprächen wurde am 10. November 2025 ein nicht-bindender Letter of Intent (LOI) mit Term Sheet-Anlage unterzeichnet. Ziel war es, den Rahmen der Transaktion verbindlich vorzuzeichnen und Exklusivität zu sichern.</w:t>
      </w:r>
    </w:p>
    <w:p>
      <w:pPr>
        <w:pStyle w:val="Heading2"/>
      </w:pPr>
      <w:r>
        <w:rPr>
          <w:rFonts w:ascii="Times New Roman" w:hAnsi="Times New Roman"/>
        </w:rPr>
        <w:t>2. Wesentliche Term-Sheet-Parameter</w:t>
      </w:r>
    </w:p>
    <w:p>
      <w:pPr>
        <w:pStyle w:val="Heading3"/>
      </w:pPr>
      <w:r>
        <w:rPr>
          <w:rFonts w:ascii="Times New Roman" w:hAnsi="Times New Roman"/>
        </w:rPr>
        <w:t>2.1 Transaktionsstruktur</w:t>
      </w:r>
    </w:p>
    <w:p>
      <w:pPr>
        <w:pStyle w:val="ListBullet"/>
      </w:pPr>
      <w:r>
        <w:t>Strukturierung als Asset Deal (kein Share Deal)</w:t>
      </w:r>
    </w:p>
    <w:p>
      <w:pPr>
        <w:pStyle w:val="ListBullet"/>
      </w:pPr>
      <w:r>
        <w:t>Erworbene Assets: Maschinen, Anlagenvermögen, Vorraeete, Kundenstamm, Patente und Lizenzen, Marken, Fertigungsanlagen in Darmstadt-Nord</w:t>
      </w:r>
    </w:p>
    <w:p>
      <w:pPr>
        <w:pStyle w:val="ListBullet"/>
      </w:pPr>
      <w:r>
        <w:t>Nicht erworben: Holdinggesellschaft FraktoMedis SE, US-Tochter FraktoMedis Inc. (separat unter Pruefung), Pensionsverpflichtungen des Vorstands</w:t>
      </w:r>
    </w:p>
    <w:p>
      <w:pPr>
        <w:pStyle w:val="Heading3"/>
      </w:pPr>
      <w:r>
        <w:rPr>
          <w:rFonts w:ascii="Times New Roman" w:hAnsi="Times New Roman"/>
        </w:rPr>
        <w:t>2.2 Kaufpreis-Indikatoren</w:t>
      </w:r>
    </w:p>
    <w:p>
      <w:pPr>
        <w:pStyle w:val="ListBullet"/>
      </w:pPr>
      <w:r>
        <w:t>Indikatives Enterprise Value: 58 Mio. EUR (auf Basis eines Gutachtens IDW S1 — Erstbewertung)</w:t>
      </w:r>
    </w:p>
    <w:p>
      <w:pPr>
        <w:pStyle w:val="ListBullet"/>
      </w:pPr>
      <w:r>
        <w:t>Kaufpreismechanismus: Locked-Box (Basis: Bilanz 30. September 2025) — vorbehaltlich Due-Diligence-Ergebnis</w:t>
      </w:r>
    </w:p>
    <w:p>
      <w:pPr>
        <w:pStyle w:val="ListBullet"/>
      </w:pPr>
      <w:r>
        <w:t>Alternativ-Mechanismus (Verkäufer-Präferenz): Closing Accounts nach IFRS</w:t>
      </w:r>
    </w:p>
    <w:p>
      <w:pPr>
        <w:pStyle w:val="Heading3"/>
      </w:pPr>
      <w:r>
        <w:rPr>
          <w:rFonts w:ascii="Times New Roman" w:hAnsi="Times New Roman"/>
        </w:rPr>
        <w:t>2.3 Earn-Out</w:t>
      </w:r>
    </w:p>
    <w:p>
      <w:pPr>
        <w:pStyle w:val="ListBullet"/>
      </w:pPr>
      <w:r>
        <w:t>Earn-Out-Komponente: 12 Mio. EUR über 3 Jahre</w:t>
      </w:r>
    </w:p>
    <w:p>
      <w:pPr>
        <w:pStyle w:val="ListBullet"/>
      </w:pPr>
      <w:r>
        <w:t>Bemessungsgrundlage: EBITDA-Zielkorridor des Geschäftsbereichs FraktoMedis Präzision</w:t>
      </w:r>
    </w:p>
    <w:p>
      <w:pPr>
        <w:pStyle w:val="ListBullet"/>
      </w:pPr>
      <w:r>
        <w:t>Treuhand: DZ Privatbank S.A. Luxembourg (Escrow Agent)</w:t>
      </w:r>
    </w:p>
    <w:p>
      <w:pPr>
        <w:pStyle w:val="Heading3"/>
      </w:pPr>
      <w:r>
        <w:rPr>
          <w:rFonts w:ascii="Times New Roman" w:hAnsi="Times New Roman"/>
        </w:rPr>
        <w:t>2.4 Garantien und W&amp;I</w:t>
      </w:r>
    </w:p>
    <w:p>
      <w:pPr>
        <w:pStyle w:val="ListBullet"/>
      </w:pPr>
      <w:r>
        <w:t>Standardgarantien des Verkaeuferszu Eigentuemerstellung, Lastenfreiheit, Vollständigkeit</w:t>
      </w:r>
    </w:p>
    <w:p>
      <w:pPr>
        <w:pStyle w:val="ListBullet"/>
      </w:pPr>
      <w:r>
        <w:t>W&amp;I-Versicherung durch beide Parteien gemeinsam zu evaluieren (AIG oder Liberty Mutual)</w:t>
      </w:r>
    </w:p>
    <w:p>
      <w:pPr>
        <w:pStyle w:val="Heading3"/>
      </w:pPr>
      <w:r>
        <w:rPr>
          <w:rFonts w:ascii="Times New Roman" w:hAnsi="Times New Roman"/>
        </w:rPr>
        <w:t>2.5 Exklusivität</w:t>
      </w:r>
    </w:p>
    <w:p>
      <w:pPr>
        <w:pStyle w:val="ListBullet"/>
      </w:pPr>
      <w:r>
        <w:t>60 Tage ab Unterzeichnung LOI (bis 9. Januar 2026)</w:t>
      </w:r>
    </w:p>
    <w:p>
      <w:pPr>
        <w:pStyle w:val="ListBullet"/>
      </w:pPr>
      <w:r>
        <w:t>Breakup Fee bei Bruch der Exklusivität durch FraktoMedis SE: 2 Mio. EUR</w:t>
      </w:r>
    </w:p>
    <w:p>
      <w:pPr>
        <w:pStyle w:val="Heading3"/>
      </w:pPr>
      <w:r>
        <w:rPr>
          <w:rFonts w:ascii="Times New Roman" w:hAnsi="Times New Roman"/>
        </w:rPr>
        <w:t>2.6 Antitrust</w:t>
      </w:r>
    </w:p>
    <w:p>
      <w:pPr>
        <w:pStyle w:val="ListBullet"/>
      </w:pPr>
      <w:r>
        <w:t>Closing-Bedingung: Freigabe BKartA (Phase I oder II)</w:t>
      </w:r>
    </w:p>
    <w:p>
      <w:pPr>
        <w:pStyle w:val="ListBullet"/>
      </w:pPr>
      <w:r>
        <w:t>Ggf. EU-Fusionskontrolle (Form CO) bei Erreichen der EU-Umsatzschwellen — in Pruefung</w:t>
      </w:r>
    </w:p>
    <w:p>
      <w:pPr>
        <w:pStyle w:val="ListBullet"/>
      </w:pPr>
      <w:r>
        <w:t>Long-Stop-Date: 31. Oktober 2026</w:t>
      </w:r>
    </w:p>
    <w:p>
      <w:pPr>
        <w:pStyle w:val="Heading3"/>
      </w:pPr>
      <w:r>
        <w:rPr>
          <w:rFonts w:ascii="Times New Roman" w:hAnsi="Times New Roman"/>
        </w:rPr>
        <w:t>2.7 Betriebsübergang</w:t>
      </w:r>
    </w:p>
    <w:p>
      <w:pPr>
        <w:pStyle w:val="ListBullet"/>
      </w:pPr>
      <w:r>
        <w:t>§ 613a BGB anwendbar auf alle Arbeitnehmer des Geschäftsbereichs</w:t>
      </w:r>
    </w:p>
    <w:p>
      <w:pPr>
        <w:pStyle w:val="ListBullet"/>
      </w:pPr>
      <w:r>
        <w:t>Unterrichtung der Arbeitnehmer gemäß § 613a Abs. 5 BGB</w:t>
      </w:r>
    </w:p>
    <w:p>
      <w:pPr>
        <w:pStyle w:val="Heading2"/>
      </w:pPr>
      <w:r>
        <w:rPr>
          <w:rFonts w:ascii="Times New Roman" w:hAnsi="Times New Roman"/>
        </w:rPr>
        <w:t>3. Nicht-bindende Natur</w:t>
      </w:r>
    </w:p>
    <w:p>
      <w:pPr>
        <w:jc w:val="left"/>
      </w:pPr>
      <w:r>
        <w:t>Der LOI ist ausdrücklich nicht-bindend (mit Ausnahme der Exklusivitaets- und Vertraulichkeitsklauseln sowie der Breakup-Fee-Regelung). Beide Seiten behalten sich ein Recht zum Rücktritt vom Prozess vor.</w:t>
      </w:r>
    </w:p>
    <w:p>
      <w:pPr>
        <w:pStyle w:val="Heading2"/>
      </w:pPr>
      <w:r>
        <w:rPr>
          <w:rFonts w:ascii="Times New Roman" w:hAnsi="Times New Roman"/>
        </w:rPr>
        <w:t>4. Unterzeichnung</w:t>
      </w:r>
    </w:p>
    <w:p>
      <w:pPr>
        <w:jc w:val="left"/>
      </w:pPr>
      <w:r>
        <w:t>Unterzeichnet am 10. November 2025 durch:</w:t>
      </w:r>
    </w:p>
    <w:p>
      <w:pPr>
        <w:pStyle w:val="ListBullet"/>
      </w:pPr>
      <w:r>
        <w:t>Theodora Volkenrath-Eichelmann (VENERA Investment Group GmbH)</w:t>
      </w:r>
    </w:p>
    <w:p>
      <w:pPr>
        <w:pStyle w:val="ListBullet"/>
      </w:pPr>
      <w:r>
        <w:t>Dr. Hannes Schwarzbeck (FraktoMedis SE, CFO)</w:t>
      </w:r>
    </w:p>
    <w:p>
      <w:pPr>
        <w:pStyle w:val="Heading2"/>
      </w:pPr>
      <w:r>
        <w:rPr>
          <w:rFonts w:ascii="Times New Roman" w:hAnsi="Times New Roman"/>
        </w:rPr>
        <w:t>5. Rechtsgrundlagen</w:t>
      </w:r>
    </w:p>
    <w:p>
      <w:pPr>
        <w:pStyle w:val="ListBullet"/>
      </w:pPr>
      <w:r>
        <w:t>§§ 145 ff. BGB (Angebot und Annahme)</w:t>
      </w:r>
    </w:p>
    <w:p>
      <w:pPr>
        <w:pStyle w:val="ListBullet"/>
      </w:pPr>
      <w:r>
        <w:t>§ 311 Abs. 2 BGB (vorvertragliche Pflichten)</w:t>
      </w:r>
    </w:p>
    <w:p>
      <w:pPr>
        <w:pStyle w:val="ListBullet"/>
      </w:pPr>
      <w:r>
        <w:t>§ 613a BGB (Betriebsübergang)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 311 BGB</w:t>
      </w:r>
    </w:p>
    <w:p>
      <w:pPr>
        <w:pStyle w:val="ListBullet"/>
      </w:pPr>
      <w:r>
        <w:t>dejure.org — § 613a BGB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