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LDD Workstream Labour/HR</w:t>
      </w:r>
    </w:p>
    <w:p>
      <w:pPr>
        <w:jc w:val="left"/>
      </w:pPr>
      <w:r>
        <w:rPr>
          <w:b/>
        </w:rPr>
        <w:t>Datum:</w:t>
      </w:r>
      <w:r>
        <w:t xml:space="preserve"> 3.–28. November 2025</w:t>
      </w:r>
    </w:p>
    <w:p>
      <w:pPr>
        <w:jc w:val="left"/>
      </w:pPr>
      <w:r>
        <w:rPr>
          <w:b/>
        </w:rPr>
        <w:t>Bearbeiter:</w:t>
      </w:r>
      <w:r>
        <w:t xml:space="preserve"> RAin Dr. Petra Kammerlohr (Arbeitsrecht), RA Julius Ravensberg</w:t>
      </w:r>
    </w:p>
    <w:p>
      <w:pPr>
        <w:jc w:val="left"/>
      </w:pPr>
      <w:r>
        <w:rPr>
          <w:b/>
        </w:rPr>
        <w:t>Workstream:</w:t>
      </w:r>
      <w:r>
        <w:t xml:space="preserve"> Labour / Arbeitsrecht</w:t>
      </w:r>
    </w:p>
    <w:p/>
    <w:p>
      <w:pPr>
        <w:pStyle w:val="Heading2"/>
      </w:pPr>
      <w:r>
        <w:rPr>
          <w:rFonts w:ascii="Times New Roman" w:hAnsi="Times New Roman"/>
        </w:rPr>
        <w:t>1. Prüfungsgegenstand</w:t>
      </w:r>
    </w:p>
    <w:p>
      <w:pPr>
        <w:jc w:val="left"/>
      </w:pPr>
      <w:r>
        <w:t>Pruefung aller arbeitsrechtlich relevanten Dokumente des Geschäftsbereichs FraktoMedis Präzision: Dienstverträge, Kollektivvereinbarungen, Betriebsratsstrukturen, laufende Arbeitsrechtsstreitigkeiten.</w:t>
      </w:r>
    </w:p>
    <w:p>
      <w:pPr>
        <w:pStyle w:val="Heading2"/>
      </w:pPr>
      <w:r>
        <w:rPr>
          <w:rFonts w:ascii="Times New Roman" w:hAnsi="Times New Roman"/>
        </w:rPr>
        <w:t>2. Personalstruktur</w:t>
      </w:r>
    </w:p>
    <w:p>
      <w:pPr>
        <w:jc w:val="left"/>
      </w:pPr>
      <w:r>
        <w:t>Gesamtmitarbeiterzahl im Geschäftsbereich: 280 (Vollzeit-Äquivalente).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Gruppe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Produktion / Fertigung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F&amp;E / Ingenieure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Vertrieb / AuĐendienst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Verwaltung / Back-Office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</w:tr>
    </w:tbl>
    <w:p>
      <w:pPr>
        <w:jc w:val="left"/>
      </w:pPr>
      <w:r>
        <w:t>Durchschnittliche Betriebszugehörigkeit: 8,4 Jahre. Unkündbarer Kernbestand (&gt; 15 Jahre BZ): 47 Mitarbeiter.</w:t>
      </w:r>
    </w:p>
    <w:p>
      <w:pPr>
        <w:pStyle w:val="Heading2"/>
      </w:pPr>
      <w:r>
        <w:rPr>
          <w:rFonts w:ascii="Times New Roman" w:hAnsi="Times New Roman"/>
        </w:rPr>
        <w:t>3. Betriebsrat</w:t>
      </w:r>
    </w:p>
    <w:p>
      <w:pPr>
        <w:jc w:val="left"/>
      </w:pPr>
      <w:r>
        <w:t>Ein Betriebsrat gemäß BetrVG ist am Standort Darmstadt-Nord gewählt (12 Mitglieder). Vorsitzender: Manfred Groetzsch.</w:t>
      </w:r>
    </w:p>
    <w:p>
      <w:pPr>
        <w:jc w:val="left"/>
      </w:pPr>
      <w:r>
        <w:t>Aktuelle Betriebsvereinbarungen (5): Gleitzeit, mobiles Arbeiten, Jubilaeumspraeimien, Kurzarbeit 2023, betriebliche Altersvorsorge (BMAS-Förderung).</w:t>
      </w:r>
    </w:p>
    <w:p>
      <w:pPr>
        <w:pStyle w:val="Heading2"/>
      </w:pPr>
      <w:r>
        <w:rPr>
          <w:rFonts w:ascii="Times New Roman" w:hAnsi="Times New Roman"/>
        </w:rPr>
        <w:t>4. Kollektivrechtliche Bindungen</w:t>
      </w:r>
    </w:p>
    <w:p>
      <w:pPr>
        <w:jc w:val="left"/>
      </w:pPr>
      <w:r>
        <w:t>Tarifverträge: Der Bereich ist dem Tarifvertrag Metall- und Elektroindustrie Hessen (IG Metall) unterstellt. Bindung gilt für ca. 63% der Belegschaft.</w:t>
      </w:r>
    </w:p>
    <w:p>
      <w:pPr>
        <w:jc w:val="left"/>
      </w:pPr>
      <w:r>
        <w:rPr>
          <w:b/>
        </w:rPr>
        <w:t>Finding L-01 (HIGH):</w:t>
      </w:r>
      <w:r>
        <w:t xml:space="preserve"> Es existiert eine Betriebsvereinbarung "Standortgarantie Darmstadt-Nord" vom 12. Januar 2021 (Laufzeit bis 31. Dezember 2026). Der Asset Deal und eine anschliessende Restrukturierung könnte diese Vereinbarung verletzen. Der Betriebsrat hat bereits signalisiert, eine Verlängerung der Standortgarantie auf 5 Jahre ab Closing zu fordern.</w:t>
      </w:r>
    </w:p>
    <w:p>
      <w:pPr>
        <w:jc w:val="left"/>
      </w:pPr>
      <w:r>
        <w:rPr>
          <w:b/>
        </w:rPr>
        <w:t>Finding L-02 (HIGH):</w:t>
      </w:r>
      <w:r>
        <w:t xml:space="preserve"> Ca. 40 Mitarbeiter haben in Vorgesprächen eine mögliche Widerspruchserklärung gemäß § 613a Abs. 6 BGB in Aussicht gestellt. Bei Massenwiderspruch droht Verbleib bei FraktoMedis SE mit anschliessendem Interessenausgleich/Sozialplan, was die operative Kontinuität gefährdet.</w:t>
      </w:r>
    </w:p>
    <w:p>
      <w:pPr>
        <w:pStyle w:val="Heading2"/>
      </w:pPr>
      <w:r>
        <w:rPr>
          <w:rFonts w:ascii="Times New Roman" w:hAnsi="Times New Roman"/>
        </w:rPr>
        <w:t>5. Schlüsselverträge</w:t>
      </w:r>
    </w:p>
    <w:p>
      <w:pPr>
        <w:jc w:val="left"/>
      </w:pPr>
      <w:r>
        <w:rPr>
          <w:b/>
        </w:rPr>
        <w:t>Finding L-03 (MEDIUM-HIGH):</w:t>
      </w:r>
      <w:r>
        <w:t xml:space="preserve"> Dem Vorstandsvorsitzenden Dr. Lukas Mayr-Forster wurde am 15. Februar 2024 ein Beratervertrag in Höhe von 180.000 EUR/Jahr (laufend, kündbar mit 12 Monaten Frist) zugesagt — der Begünstigte ist der Schwiegersohn des Unternehmensgründers. Der Vertrag läuft unkündbar bis mindestens 30. Juni 2027. Möglicher Verstoss gegen § 57 Abs. 1 AktG (Rückgewähr von Einlagen) sowie Interessenkonflikt des Vorstands.</w:t>
      </w:r>
    </w:p>
    <w:p>
      <w:pPr>
        <w:pStyle w:val="Heading2"/>
      </w:pPr>
      <w:r>
        <w:rPr>
          <w:rFonts w:ascii="Times New Roman" w:hAnsi="Times New Roman"/>
        </w:rPr>
        <w:t>6. Laufende Arbeitsrechtsstreitigkeiten</w:t>
      </w:r>
    </w:p>
    <w:p>
      <w:pPr>
        <w:pStyle w:val="ListBullet"/>
      </w:pPr>
      <w:r>
        <w:t>3 Kündigungsschutzverfahren (ArbG Darmstadt) — geringes Risiko</w:t>
      </w:r>
    </w:p>
    <w:p>
      <w:pPr>
        <w:pStyle w:val="ListBullet"/>
      </w:pPr>
      <w:r>
        <w:t>1 Klage auf betriebliche Altersversorgung (ArbG Darmstadt) — Streitwert 48.000 EUR</w:t>
      </w:r>
    </w:p>
    <w:p>
      <w:pPr>
        <w:pStyle w:val="Heading2"/>
      </w:pPr>
      <w:r>
        <w:rPr>
          <w:rFonts w:ascii="Times New Roman" w:hAnsi="Times New Roman"/>
        </w:rPr>
        <w:t>7. Empfehlungen</w:t>
      </w:r>
    </w:p>
    <w:p>
      <w:pPr>
        <w:pStyle w:val="ListBullet"/>
      </w:pPr>
      <w:r>
        <w:t>Verhandlungen mit Betriebsrat unverzüglich aufnehmen (§ 613a Abs. 5 BGB: Unterrichtungspflicht)</w:t>
      </w:r>
    </w:p>
    <w:p>
      <w:pPr>
        <w:pStyle w:val="ListBullet"/>
      </w:pPr>
      <w:r>
        <w:t>Sozialplanverhandlungen vorbereiten</w:t>
      </w:r>
    </w:p>
    <w:p>
      <w:pPr>
        <w:pStyle w:val="ListBullet"/>
      </w:pPr>
      <w:r>
        <w:t>Beratervertrag Schwiegersohn in SPA als bekannte Verbindlichkeit aufnehmen, Indemnity einfordern</w:t>
      </w:r>
    </w:p>
    <w:p>
      <w:pPr>
        <w:pStyle w:val="ListBullet"/>
      </w:pPr>
      <w:r>
        <w:t>Risikopuffer für Massenwiderspruch (ca. 40 MA) in der Unternehmensplanung berücksichtigen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613a BGB</w:t>
      </w:r>
    </w:p>
    <w:p>
      <w:pPr>
        <w:pStyle w:val="ListBullet"/>
      </w:pPr>
      <w:r>
        <w:t>dejure.org — § 57 AktG</w:t>
      </w:r>
    </w:p>
    <w:p>
      <w:pPr>
        <w:pStyle w:val="ListBullet"/>
      </w:pPr>
      <w:r>
        <w:t>openjur.de — BAG zu § 613a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