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LDD Workstream IP</w:t>
      </w:r>
    </w:p>
    <w:p>
      <w:pPr>
        <w:jc w:val="left"/>
      </w:pPr>
      <w:r>
        <w:rPr>
          <w:b/>
        </w:rPr>
        <w:t>Datum:</w:t>
      </w:r>
      <w:r>
        <w:t xml:space="preserve"> 3.–28. November 2025</w:t>
      </w:r>
    </w:p>
    <w:p>
      <w:pPr>
        <w:jc w:val="left"/>
      </w:pPr>
      <w:r>
        <w:rPr>
          <w:b/>
        </w:rPr>
        <w:t>Bearbeiter:</w:t>
      </w:r>
      <w:r>
        <w:t xml:space="preserve"> RA Dr. Benedikt Schorrenberg (IP-Recht), RA Julius Ravensberg</w:t>
      </w:r>
    </w:p>
    <w:p>
      <w:pPr>
        <w:jc w:val="left"/>
      </w:pPr>
      <w:r>
        <w:rPr>
          <w:b/>
        </w:rPr>
        <w:t>Workstream:</w:t>
      </w:r>
      <w:r>
        <w:t xml:space="preserve"> Intellectual Property</w:t>
      </w:r>
    </w:p>
    <w:p/>
    <w:p>
      <w:pPr>
        <w:pStyle w:val="Heading2"/>
      </w:pPr>
      <w:r>
        <w:rPr>
          <w:rFonts w:ascii="Times New Roman" w:hAnsi="Times New Roman"/>
        </w:rPr>
        <w:t>1. Prüfungsgegenstand</w:t>
      </w:r>
    </w:p>
    <w:p>
      <w:pPr>
        <w:jc w:val="left"/>
      </w:pPr>
      <w:r>
        <w:t>Pruefung des gesamten gewerblichen Rechtsschutzportfolios des Geschäftsbereichs FraktoMedis Präzision einschliesslich Patente, Gebrauchsmuster, Marken, Designs sowie Lizenzverträge.</w:t>
      </w:r>
    </w:p>
    <w:p>
      <w:pPr>
        <w:pStyle w:val="Heading2"/>
      </w:pPr>
      <w:r>
        <w:rPr>
          <w:rFonts w:ascii="Times New Roman" w:hAnsi="Times New Roman"/>
        </w:rPr>
        <w:t>2. Patentportfolio</w:t>
      </w:r>
    </w:p>
    <w:p>
      <w:pPr>
        <w:jc w:val="left"/>
      </w:pPr>
      <w:r>
        <w:t>FraktoMedis Präzision hält insgesamt 47 erteilte Patente (DE, EP, US) sowie 12 angemeldete Patente.</w:t>
      </w:r>
    </w:p>
    <w:p>
      <w:pPr>
        <w:jc w:val="left"/>
      </w:pPr>
      <w:r>
        <w:t>Kernpatente (Bewertungsrelevanz):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Patent-Nr.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Titel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Gebiete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3 847 112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Dynamisches Kompressionssystem für Tibiaschaftfrakturen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Erteilt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DE, FR, CH, UK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 10 2018 204 517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Marknagel-Verriegelungsschraube mit Bioresorbat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Erteilt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 11,234,567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Intramedullary Fixation Device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Erteilt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4 012 334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Intelligentes Implantat-Monitoring-System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Angemeldet (WO)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jc w:val="left"/>
      </w:pPr>
      <w:r>
        <w:rPr>
          <w:b/>
        </w:rPr>
        <w:t>Finding IP-01 (KRITISCH):</w:t>
      </w:r>
      <w:r>
        <w:t xml:space="preserve"> Gegen das Kernpatent EP 3 847 112 ist seit dem 4. September 2024 eine Patentnichtigkeitsklage beim Bundespatentgericht (BPatG 3 Ni 44/24) durch die Konkurrentin SynthFrak AG (Zürich) anhangig. Eine erstinstanzliche Entscheidung wird für Q3/Q4 2026 erwartet. Das Risiko der Vernichtung dieses Patents stuft das LDD-Team als HOCH ein; das Patent trägt ca. 28 Mio. EUR zum indikativen EV bei. Kaufpreisminderungspotenzial: erheblich.</w:t>
      </w:r>
    </w:p>
    <w:p>
      <w:pPr>
        <w:pStyle w:val="Heading2"/>
      </w:pPr>
      <w:r>
        <w:rPr>
          <w:rFonts w:ascii="Times New Roman" w:hAnsi="Times New Roman"/>
        </w:rPr>
        <w:t>3. Marken</w:t>
      </w:r>
    </w:p>
    <w:p>
      <w:pPr>
        <w:jc w:val="left"/>
      </w:pPr>
      <w:r>
        <w:t>17 eingetragene Marken (DPMA und EUIPO). Keine Nichtigkeitsklagen bekannt. Übertragbarkeit auf VENERA unproblematisch.</w:t>
      </w:r>
    </w:p>
    <w:p>
      <w:pPr>
        <w:pStyle w:val="Heading2"/>
      </w:pPr>
      <w:r>
        <w:rPr>
          <w:rFonts w:ascii="Times New Roman" w:hAnsi="Times New Roman"/>
        </w:rPr>
        <w:t>4. Lizenzverträge</w:t>
      </w:r>
    </w:p>
    <w:p>
      <w:pPr>
        <w:jc w:val="left"/>
      </w:pPr>
      <w:r>
        <w:t>FraktoMedis Präzision hat 3 ausgehende Lizenzverträge (Lizenznehmer: Orthobionics GmbH, Muenchen; MedForce SA, Paris; Ortho-Link Inc., Cincinnati) und 2 eingehende Lizenzen (Materialpatente Titan-Legierung).</w:t>
      </w:r>
    </w:p>
    <w:p>
      <w:pPr>
        <w:jc w:val="left"/>
      </w:pPr>
      <w:r>
        <w:rPr>
          <w:b/>
        </w:rPr>
        <w:t>Finding IP-02 (MEDIUM):</w:t>
      </w:r>
      <w:r>
        <w:t xml:space="preserve"> Die Lizenzverträge mit Orthobionics GmbH und MedForce SA enthalten Change-of-Control-Klauseln, die bei einem Asset Deal auf Kündigungsrecht des Lizenznehmers hindeuten. Änderungsvereinbarungen sind vor Closing abzuschliessen.</w:t>
      </w:r>
    </w:p>
    <w:p>
      <w:pPr>
        <w:pStyle w:val="Heading2"/>
      </w:pPr>
      <w:r>
        <w:rPr>
          <w:rFonts w:ascii="Times New Roman" w:hAnsi="Times New Roman"/>
        </w:rPr>
        <w:t>5. Know-How und Betriebsgeheimnisse</w:t>
      </w:r>
    </w:p>
    <w:p>
      <w:pPr>
        <w:jc w:val="left"/>
      </w:pPr>
      <w:r>
        <w:t>Interne Fertigungsverfahren sind teilweise nur als Know-How (nicht patentiert) geschützt. Key Persons: 3 leitende Ingenieure mit Non-Compete-Klauseln. Pruefung: Die Non-Compete-Klauseln sind nach deutschem Recht (§§ 74 ff. HGB) nur bei vollständiger Karenzentschaedigung durchsetzbar — dies ist gemäß Akte gewahrt.</w:t>
      </w:r>
    </w:p>
    <w:p>
      <w:pPr>
        <w:pStyle w:val="Heading2"/>
      </w:pPr>
      <w:r>
        <w:rPr>
          <w:rFonts w:ascii="Times New Roman" w:hAnsi="Times New Roman"/>
        </w:rPr>
        <w:t>6. Empfehlungen</w:t>
      </w:r>
    </w:p>
    <w:p>
      <w:pPr>
        <w:pStyle w:val="ListBullet"/>
      </w:pPr>
      <w:r>
        <w:t>Kaufpreisabschlag in Höhe des Patentnichtigkeitsrisikos einplanen (Verhandlungspuffer)</w:t>
      </w:r>
    </w:p>
    <w:p>
      <w:pPr>
        <w:pStyle w:val="ListBullet"/>
      </w:pPr>
      <w:r>
        <w:t>Indemnity durch Verkäufer für das Patentnichtigkeitsverfahren BPatG 3 Ni 44/24</w:t>
      </w:r>
    </w:p>
    <w:p>
      <w:pPr>
        <w:pStyle w:val="ListBullet"/>
      </w:pPr>
      <w:r>
        <w:t>Lizenzverträge mit Change-of-Control-Klauseln vor Closing novieren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§§ 74 ff. HGB</w:t>
      </w:r>
    </w:p>
    <w:p>
      <w:pPr>
        <w:pStyle w:val="ListBullet"/>
      </w:pPr>
      <w:r>
        <w:t>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