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LDD Workstream Real Estate</w:t>
      </w:r>
    </w:p>
    <w:p>
      <w:pPr>
        <w:jc w:val="left"/>
      </w:pPr>
      <w:r>
        <w:rPr>
          <w:b/>
        </w:rPr>
        <w:t>Datum:</w:t>
      </w:r>
      <w:r>
        <w:t xml:space="preserve"> 3.–28. November 2025</w:t>
      </w:r>
    </w:p>
    <w:p>
      <w:pPr>
        <w:jc w:val="left"/>
      </w:pPr>
      <w:r>
        <w:rPr>
          <w:b/>
        </w:rPr>
        <w:t>Bearbeiter:</w:t>
      </w:r>
      <w:r>
        <w:t xml:space="preserve"> RA Dr. Claudia Hasenfratz (Immobilienrecht)</w:t>
      </w:r>
    </w:p>
    <w:p>
      <w:pPr>
        <w:jc w:val="left"/>
      </w:pPr>
      <w:r>
        <w:rPr>
          <w:b/>
        </w:rPr>
        <w:t>Workstream:</w:t>
      </w:r>
      <w:r>
        <w:t xml:space="preserve"> Real Estate / Immobilien</w:t>
      </w:r>
    </w:p>
    <w:p/>
    <w:p>
      <w:pPr>
        <w:pStyle w:val="Heading2"/>
      </w:pPr>
      <w:r>
        <w:rPr>
          <w:rFonts w:ascii="Times New Roman" w:hAnsi="Times New Roman"/>
        </w:rPr>
        <w:t>1. Prüfungsgegenstand</w:t>
      </w:r>
    </w:p>
    <w:p>
      <w:pPr>
        <w:jc w:val="left"/>
      </w:pPr>
      <w:r>
        <w:t>Sämtliche Immobilien, Grundstücke und Mietobjekte, die dem Geschäftsbereich FraktoMedis Präzision zuzurechnen sind.</w:t>
      </w:r>
    </w:p>
    <w:p>
      <w:pPr>
        <w:pStyle w:val="Heading2"/>
      </w:pPr>
      <w:r>
        <w:rPr>
          <w:rFonts w:ascii="Times New Roman" w:hAnsi="Times New Roman"/>
        </w:rPr>
        <w:t>2. Immobilienübersicht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Objekt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Fläche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Fertigungshalle Darmstadt-Nord (Bartningstrasse 44)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8.400 qm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Nutzung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Verwaltungsgebäude Darmstadt-Mitte (Robert-Bosch-Str. 12)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2.100 qm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Mietvertrag bis 31.12.2028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Lager Rüsselsheim (extern)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1.800 qm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Mietvertrag bis 30.06.2026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Prüfungsergebnisse</w:t>
      </w:r>
    </w:p>
    <w:p>
      <w:pPr>
        <w:pStyle w:val="Heading3"/>
      </w:pPr>
      <w:r>
        <w:rPr>
          <w:rFonts w:ascii="Times New Roman" w:hAnsi="Times New Roman"/>
        </w:rPr>
        <w:t>3.1 Fertigungshalle Darmstadt-Nord</w:t>
      </w:r>
    </w:p>
    <w:p>
      <w:pPr>
        <w:jc w:val="left"/>
      </w:pPr>
      <w:r>
        <w:t>Eigentum der FraktoMedis SE eingetragen im Grundbuch des Amtsgerichts Darmstadt, Band 44, Blatt 882. Grundstücksfläche: 12.400 qm.</w:t>
      </w:r>
    </w:p>
    <w:p>
      <w:pPr>
        <w:jc w:val="left"/>
      </w:pPr>
      <w:r>
        <w:rPr>
          <w:b/>
        </w:rPr>
        <w:t>Finding RE-01 (HIGH):</w:t>
      </w:r>
      <w:r>
        <w:t xml:space="preserve"> Das Grundstueck ist mit einer Grundschuld von 8 Mio. EUR zugunsten der Commerzbank AG belastet (eingetragen 22. August 2018). Diese ist vor Closing abzulösen oder an VENERA zu novieren.</w:t>
      </w:r>
    </w:p>
    <w:p>
      <w:pPr>
        <w:jc w:val="left"/>
      </w:pPr>
      <w:r>
        <w:rPr>
          <w:b/>
        </w:rPr>
        <w:t>Finding RE-02 (MEDIUM):</w:t>
      </w:r>
      <w:r>
        <w:t xml:space="preserve"> Altlastenverdacht gemäß § 9 BBodSchG: Das Grundstueck stand vor 1990 als Betriebsgelände eines Galvanikbetriebs in Nutzung. Ein Bodengutachten liegt vor (2019), identifiziert aber keine akuten Kontaminationen. Dennoch empfiehlt sich ein aktualisiertes Phase-II-Umweltgutachten vor Closing.</w:t>
      </w:r>
    </w:p>
    <w:p>
      <w:pPr>
        <w:pStyle w:val="Heading3"/>
      </w:pPr>
      <w:r>
        <w:rPr>
          <w:rFonts w:ascii="Times New Roman" w:hAnsi="Times New Roman"/>
        </w:rPr>
        <w:t>3.2 Mietverträge</w:t>
      </w:r>
    </w:p>
    <w:p>
      <w:pPr>
        <w:jc w:val="left"/>
      </w:pPr>
      <w:r>
        <w:t>Der Mietvertrag für das Verwaltungsgebäude enthält keine Change-of-Control-Klausel; eine Zustimmung des Vermieters zur Vertragsübernahme ist jedoch bei Asset Deal erforderlich (§§ 566, 578 BGB analog).</w:t>
      </w:r>
    </w:p>
    <w:p>
      <w:pPr>
        <w:jc w:val="left"/>
      </w:pPr>
      <w:r>
        <w:t>Das Mietverhältnis in Rüsselsheim läuft bis 30. Juni 2026 und endet vor dem geplanten Closing — kein handlungsbedarf.</w:t>
      </w:r>
    </w:p>
    <w:p>
      <w:pPr>
        <w:pStyle w:val="Heading2"/>
      </w:pPr>
      <w:r>
        <w:rPr>
          <w:rFonts w:ascii="Times New Roman" w:hAnsi="Times New Roman"/>
        </w:rPr>
        <w:t>4. Empfehlungen</w:t>
      </w:r>
    </w:p>
    <w:p>
      <w:pPr>
        <w:pStyle w:val="ListBullet"/>
      </w:pPr>
      <w:r>
        <w:t>Grundschuldabloese vor Closing sicherstellen</w:t>
      </w:r>
    </w:p>
    <w:p>
      <w:pPr>
        <w:pStyle w:val="ListBullet"/>
      </w:pPr>
      <w:r>
        <w:t>Vermieter-Zustimmung für Verwaltungsgebäude einholen</w:t>
      </w:r>
    </w:p>
    <w:p>
      <w:pPr>
        <w:pStyle w:val="ListBullet"/>
      </w:pPr>
      <w:r>
        <w:t>Aktualisiertes Umweltgutachten beauftragen (Phase II)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9 BBodSchG</w:t>
      </w:r>
    </w:p>
    <w:p>
      <w:pPr>
        <w:pStyle w:val="ListBullet"/>
      </w:pPr>
      <w:r>
        <w:t>dejure.org — § 566 BGB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