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LDD Workstream Public/Compliance</w:t>
      </w:r>
    </w:p>
    <w:p>
      <w:pPr>
        <w:jc w:val="left"/>
      </w:pPr>
      <w:r>
        <w:rPr>
          <w:b/>
        </w:rPr>
        <w:t>Datum:</w:t>
      </w:r>
      <w:r>
        <w:t xml:space="preserve"> 3.–28. November 2025</w:t>
      </w:r>
    </w:p>
    <w:p>
      <w:pPr>
        <w:jc w:val="left"/>
      </w:pPr>
      <w:r>
        <w:rPr>
          <w:b/>
        </w:rPr>
        <w:t>Bearbeiter:</w:t>
      </w:r>
      <w:r>
        <w:t xml:space="preserve"> RAin Dr. Antonia von Wesselburen, RA Johannes Frielinghaus</w:t>
      </w:r>
    </w:p>
    <w:p>
      <w:pPr>
        <w:jc w:val="left"/>
      </w:pPr>
      <w:r>
        <w:rPr>
          <w:b/>
        </w:rPr>
        <w:t>Workstream:</w:t>
      </w:r>
      <w:r>
        <w:t xml:space="preserve"> Public Law / Compliance / Regulatory</w:t>
      </w:r>
    </w:p>
    <w:p/>
    <w:p>
      <w:pPr>
        <w:pStyle w:val="Heading2"/>
      </w:pPr>
      <w:r>
        <w:rPr>
          <w:rFonts w:ascii="Times New Roman" w:hAnsi="Times New Roman"/>
        </w:rPr>
        <w:t>1. Prüfungsgegenstand</w:t>
      </w:r>
    </w:p>
    <w:p>
      <w:pPr>
        <w:jc w:val="left"/>
      </w:pPr>
      <w:r>
        <w:t>Behordliche Genehmigungen, Regulatory-Compliance im MedTech-Bereich, Exportkontrolle, Datenschutz, Korruptionsprävention.</w:t>
      </w:r>
    </w:p>
    <w:p>
      <w:pPr>
        <w:pStyle w:val="Heading2"/>
      </w:pPr>
      <w:r>
        <w:rPr>
          <w:rFonts w:ascii="Times New Roman" w:hAnsi="Times New Roman"/>
        </w:rPr>
        <w:t>2. Regulatorische Genehmigungen (MedTech)</w:t>
      </w:r>
    </w:p>
    <w:p>
      <w:pPr>
        <w:jc w:val="left"/>
      </w:pPr>
      <w:r>
        <w:t>FraktoMedis Präzision ist als Medizinproduktehersteller gemäß EU-MDR (Verordnung (EU) 2017/745) zugelassen. Benannte Stelle: TÜV SuD Product Service GmbH.</w:t>
      </w:r>
    </w:p>
    <w:p>
      <w:pPr>
        <w:jc w:val="left"/>
      </w:pPr>
      <w:r>
        <w:t>CE-Kennzeichnungen für alle in der EU vertriebenen Implantat-Serien sind aktuell und gültig (letzte Rezertifizierung: Mai 2024). QMS-Zertifizierung nach DIN EN ISO 13485:2016 ebenfalls aktuell.</w:t>
      </w:r>
    </w:p>
    <w:p>
      <w:pPr>
        <w:jc w:val="left"/>
      </w:pPr>
      <w:r>
        <w:rPr>
          <w:b/>
        </w:rPr>
        <w:t>Finding COM-01 (MEDIUM):</w:t>
      </w:r>
      <w:r>
        <w:t xml:space="preserve"> Das QMS-Audit vom Oktober 2024 hat 3 Nebenabweichungen (minor non-conformities) festgestellt; diese wurden berichtet, aber noch nicht vollständig abgestellt. VENERA sollte die Abstellungsberichte bis Closing anfordern.</w:t>
      </w:r>
    </w:p>
    <w:p>
      <w:pPr>
        <w:pStyle w:val="Heading2"/>
      </w:pPr>
      <w:r>
        <w:rPr>
          <w:rFonts w:ascii="Times New Roman" w:hAnsi="Times New Roman"/>
        </w:rPr>
        <w:t>3. Exportkontrolle</w:t>
      </w:r>
    </w:p>
    <w:p>
      <w:pPr>
        <w:jc w:val="left"/>
      </w:pPr>
      <w:r>
        <w:t>Sämtliche exportierten Produkte unterliegen keinen AWG-Beschränkungen. US-ITAR/EAR-Klassifizierung der US-Tochter ist separat zu prufen (durch US-Counsel).</w:t>
      </w:r>
    </w:p>
    <w:p>
      <w:pPr>
        <w:pStyle w:val="Heading2"/>
      </w:pPr>
      <w:r>
        <w:rPr>
          <w:rFonts w:ascii="Times New Roman" w:hAnsi="Times New Roman"/>
        </w:rPr>
        <w:t>4. Datenschutz (DSGVO)</w:t>
      </w:r>
    </w:p>
    <w:p>
      <w:pPr>
        <w:jc w:val="left"/>
      </w:pPr>
      <w:r>
        <w:rPr>
          <w:b/>
        </w:rPr>
        <w:t>Finding COM-02 (MEDIUM):</w:t>
      </w:r>
      <w:r>
        <w:t xml:space="preserve"> Das externe Datenschutz-Audit (2023) ergab Defizite bei der DSGVO-Konformitaet der Datenverarbeitung in der Produktion (Mitarbeiterdaten auf nicht-EU-Servern). FraktoMedis SE hat Massnahmen eingeleitet; abschliessendes Re-Audit steht aus.</w:t>
      </w:r>
    </w:p>
    <w:p>
      <w:pPr>
        <w:pStyle w:val="Heading2"/>
      </w:pPr>
      <w:r>
        <w:rPr>
          <w:rFonts w:ascii="Times New Roman" w:hAnsi="Times New Roman"/>
        </w:rPr>
        <w:t>5. Korruptionsprävention — Lateinamerika 2022</w:t>
      </w:r>
    </w:p>
    <w:p>
      <w:pPr>
        <w:jc w:val="left"/>
      </w:pPr>
      <w:r>
        <w:rPr>
          <w:b/>
        </w:rPr>
        <w:t>Finding COM-03 (KRITISCH):</w:t>
      </w:r>
      <w:r>
        <w:t xml:space="preserve"> Interner Hinweis (HinSchG-Hotline, Hinweis Nr. HW-2023-044) dokumentiert Berichte über Unregelmaeigkeiten bei der Vergabe von Vertriebsprovisionen an Intermediäre in Brasilien und Mexiko im Jahr 2022. Betrag: ca. 840.000 EUR. FraktoMedis SE hat eine interne Untersuchung eingeleitet (Beauftragter: Rechtsanwalt Dr. Sven Klamroth, Muenchen), deren Ergebnisse noch nicht vorliegen.</w:t>
      </w:r>
    </w:p>
    <w:p>
      <w:pPr>
        <w:jc w:val="left"/>
      </w:pPr>
      <w:r>
        <w:t>Handlungsbedarf: Ergebnisse der internen Untersuchung müssen vor Signing vorliegen. Indemnity des Verkaefers unbedingt erforderlich.</w:t>
      </w:r>
    </w:p>
    <w:p>
      <w:pPr>
        <w:pStyle w:val="Heading2"/>
      </w:pPr>
      <w:r>
        <w:rPr>
          <w:rFonts w:ascii="Times New Roman" w:hAnsi="Times New Roman"/>
        </w:rPr>
        <w:t>6. Empfehlungen</w:t>
      </w:r>
    </w:p>
    <w:p>
      <w:pPr>
        <w:pStyle w:val="ListBullet"/>
      </w:pPr>
      <w:r>
        <w:t>Vorlage des internen Untersuchungsberichts (Klamroth-Bericht) als Closing-Bedingung</w:t>
      </w:r>
    </w:p>
    <w:p>
      <w:pPr>
        <w:pStyle w:val="ListBullet"/>
      </w:pPr>
      <w:r>
        <w:t>DSGVO-Re-Audit bis Closing abschliessen</w:t>
      </w:r>
    </w:p>
    <w:p>
      <w:pPr>
        <w:pStyle w:val="ListBullet"/>
      </w:pPr>
      <w:r>
        <w:t>QMS-Abstellungsberichte einfordern</w:t>
      </w:r>
    </w:p>
    <w:p>
      <w:pPr>
        <w:pStyle w:val="ListBullet"/>
      </w:pPr>
      <w:r>
        <w:t>Compliance-Indemnity im SPA aufnehmen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HinSchG</w:t>
      </w:r>
    </w:p>
    <w:p>
      <w:pPr>
        <w:pStyle w:val="ListBullet"/>
      </w:pPr>
      <w:r>
        <w:t>dejure.org — DSGVO Art. 83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