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Representations, Warranties &amp; Indemnities</w:t>
      </w:r>
    </w:p>
    <w:p>
      <w:pPr>
        <w:jc w:val="left"/>
      </w:pPr>
      <w:r>
        <w:rPr>
          <w:b/>
        </w:rPr>
        <w:t>Datum:</w:t>
      </w:r>
      <w:r>
        <w:t xml:space="preserve"> 5.–20. Januar 2026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Mannfeldt, RA Dr. Saskia Altenkamp</w:t>
      </w:r>
    </w:p>
    <w:p/>
    <w:p>
      <w:pPr>
        <w:pStyle w:val="Heading2"/>
      </w:pPr>
      <w:r>
        <w:rPr>
          <w:rFonts w:ascii="Times New Roman" w:hAnsi="Times New Roman"/>
        </w:rPr>
        <w:t>1. Grundstruktur</w:t>
      </w:r>
    </w:p>
    <w:p>
      <w:pPr>
        <w:jc w:val="left"/>
      </w:pPr>
      <w:r>
        <w:t>Das Asset Purchase Agreement (APA) enthält einen umfangreichen Katalog von Verkaefer-Garantien (Vendor Warranties) und spezifischen Indemnities für alle im Red-Flag-Memorandum identifizierten Risiken.</w:t>
      </w:r>
    </w:p>
    <w:p>
      <w:pPr>
        <w:pStyle w:val="Heading2"/>
      </w:pPr>
      <w:r>
        <w:rPr>
          <w:rFonts w:ascii="Times New Roman" w:hAnsi="Times New Roman"/>
        </w:rPr>
        <w:t>2. Garantiekatalog (Auswahl)</w:t>
      </w:r>
    </w:p>
    <w:p>
      <w:pPr>
        <w:pStyle w:val="Heading3"/>
      </w:pPr>
      <w:r>
        <w:rPr>
          <w:rFonts w:ascii="Times New Roman" w:hAnsi="Times New Roman"/>
        </w:rPr>
        <w:t>2.1 Allgemeine Unternehmensgarantien</w:t>
      </w:r>
    </w:p>
    <w:p>
      <w:pPr>
        <w:pStyle w:val="ListBullet"/>
      </w:pPr>
      <w:r>
        <w:t>Gültigkeit und Wirksamkeit des APA</w:t>
      </w:r>
    </w:p>
    <w:p>
      <w:pPr>
        <w:pStyle w:val="ListBullet"/>
      </w:pPr>
      <w:r>
        <w:t>Eigentuemerstellung an allen zu übertragenden Assets, lastenfrei</w:t>
      </w:r>
    </w:p>
    <w:p>
      <w:pPr>
        <w:pStyle w:val="ListBullet"/>
      </w:pPr>
      <w:r>
        <w:t>Vollständigkeit der Vermögensübersicht</w:t>
      </w:r>
    </w:p>
    <w:p>
      <w:pPr>
        <w:pStyle w:val="Heading3"/>
      </w:pPr>
      <w:r>
        <w:rPr>
          <w:rFonts w:ascii="Times New Roman" w:hAnsi="Times New Roman"/>
        </w:rPr>
        <w:t>2.2 Finanzielle Garantien</w:t>
      </w:r>
    </w:p>
    <w:p>
      <w:pPr>
        <w:pStyle w:val="ListBullet"/>
      </w:pPr>
      <w:r>
        <w:t>Richtigkeit der Referenzbilanz zum 30. September 2025 (IFRS-konform)</w:t>
      </w:r>
    </w:p>
    <w:p>
      <w:pPr>
        <w:pStyle w:val="ListBullet"/>
      </w:pPr>
      <w:r>
        <w:t>Kein Material Adverse Change zwischen Locked-Box-Datum und Closing</w:t>
      </w:r>
    </w:p>
    <w:p>
      <w:pPr>
        <w:pStyle w:val="ListBullet"/>
      </w:pPr>
      <w:r>
        <w:t>Korrektheit der Angaben zum Net Working Capital</w:t>
      </w:r>
    </w:p>
    <w:p>
      <w:pPr>
        <w:pStyle w:val="Heading3"/>
      </w:pPr>
      <w:r>
        <w:rPr>
          <w:rFonts w:ascii="Times New Roman" w:hAnsi="Times New Roman"/>
        </w:rPr>
        <w:t>2.3 Rechtliche Garantien</w:t>
      </w:r>
    </w:p>
    <w:p>
      <w:pPr>
        <w:pStyle w:val="ListBullet"/>
      </w:pPr>
      <w:r>
        <w:t>Keine anhangigen Rechtsstreitigkeiten ausserhalb des Disclosure Schedules</w:t>
      </w:r>
    </w:p>
    <w:p>
      <w:pPr>
        <w:pStyle w:val="ListBullet"/>
      </w:pPr>
      <w:r>
        <w:t>Keine behordlichen Verfahren</w:t>
      </w:r>
    </w:p>
    <w:p>
      <w:pPr>
        <w:pStyle w:val="ListBullet"/>
      </w:pPr>
      <w:r>
        <w:t>Gültigkeit aller Lizenzen und Genehmigungen</w:t>
      </w:r>
    </w:p>
    <w:p>
      <w:pPr>
        <w:pStyle w:val="Heading3"/>
      </w:pPr>
      <w:r>
        <w:rPr>
          <w:rFonts w:ascii="Times New Roman" w:hAnsi="Times New Roman"/>
        </w:rPr>
        <w:t>2.4 Mitarbeiter-Garantien</w:t>
      </w:r>
    </w:p>
    <w:p>
      <w:pPr>
        <w:pStyle w:val="ListBullet"/>
      </w:pPr>
      <w:r>
        <w:t>Vollständigkeit der Personalakten</w:t>
      </w:r>
    </w:p>
    <w:p>
      <w:pPr>
        <w:pStyle w:val="ListBullet"/>
      </w:pPr>
      <w:r>
        <w:t>Keine nicht offenbarten Ruhegehaltszusagen</w:t>
      </w:r>
    </w:p>
    <w:p>
      <w:pPr>
        <w:pStyle w:val="Heading2"/>
      </w:pPr>
      <w:r>
        <w:rPr>
          <w:rFonts w:ascii="Times New Roman" w:hAnsi="Times New Roman"/>
        </w:rPr>
        <w:t>3. Disclosure-Konzept</w:t>
      </w:r>
    </w:p>
    <w:p>
      <w:pPr>
        <w:jc w:val="left"/>
      </w:pPr>
      <w:r>
        <w:t>Sämtliche bekannten Ausnahmen von den Garantien werden im Disclosure Schedule (Anlage X zum APA) offengelegt. Disclosed Matters beschränken die Garantiehaftung des Verkaefers.</w:t>
      </w:r>
    </w:p>
    <w:p>
      <w:pPr>
        <w:jc w:val="left"/>
      </w:pPr>
      <w:r>
        <w:rPr>
          <w:b/>
        </w:rPr>
        <w:t>VENERA-Verhandlungsposition:</w:t>
      </w:r>
      <w:r>
        <w:t xml:space="preserve"> Strikte Qualitätsanforderungen an den Disclosure: Nur specific disclosure (nicht general disclosure) wirkt als Garantieausnahme. Keine "data room disclosure" ohne explizite Benennung.</w:t>
      </w:r>
    </w:p>
    <w:p>
      <w:pPr>
        <w:pStyle w:val="Heading2"/>
      </w:pPr>
      <w:r>
        <w:rPr>
          <w:rFonts w:ascii="Times New Roman" w:hAnsi="Times New Roman"/>
        </w:rPr>
        <w:t>4. Wesentliche Indemnities (spezifisch)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Indemnity-Typ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FCPA/DOJ Subpoena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Dollar-for-Dollar ab erstem Euro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Unbegrenzt (Carve-Out vom Cap)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Korruption Lateinamerika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Dollar-for-Dollar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Unbegrenzt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Patentnichtigkeitsklage EP 3 847 112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Dollar-for-Dollar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Mio.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Produkthaftungsfall LG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Dollar-for-Dollar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Mio.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Grundschuldbelastung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Dollar-for-Dollar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Mio.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Beratervertrag Schwiegersohn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Dollar-for-Dollar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400.000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Haftungsbeschränkungen</w:t>
      </w:r>
    </w:p>
    <w:p>
      <w:pPr>
        <w:pStyle w:val="ListBullet"/>
      </w:pPr>
      <w:r>
        <w:rPr>
          <w:b/>
        </w:rPr>
        <w:t>General Cap:</w:t>
      </w:r>
      <w:r>
        <w:t xml:space="preserve"> 25% des Enterprise Value (ca. 14,5 Mio. EUR bei EV 58 Mio. EUR)</w:t>
      </w:r>
    </w:p>
    <w:p>
      <w:pPr>
        <w:pStyle w:val="ListBullet"/>
      </w:pPr>
      <w:r>
        <w:rPr>
          <w:b/>
        </w:rPr>
        <w:t>De-minimis:</w:t>
      </w:r>
      <w:r>
        <w:t xml:space="preserve"> 50.000 EUR pro Einzelfall</w:t>
      </w:r>
    </w:p>
    <w:p>
      <w:pPr>
        <w:pStyle w:val="ListBullet"/>
      </w:pPr>
      <w:r>
        <w:rPr>
          <w:b/>
        </w:rPr>
        <w:t>Basket (Deductible):</w:t>
      </w:r>
      <w:r>
        <w:t xml:space="preserve"> 580.000 EUR (1% des EV)</w:t>
      </w:r>
    </w:p>
    <w:p>
      <w:pPr>
        <w:pStyle w:val="ListBullet"/>
      </w:pPr>
      <w:r>
        <w:rPr>
          <w:b/>
        </w:rPr>
        <w:t>Verjährung:</w:t>
      </w:r>
      <w:r>
        <w:t xml:space="preserve"> 18 Monate allgemein; 5 Jahre für Steuer- und Compliance-Garantien; 10 Jahre für arglistig verschwiegene Mängel (§ 438 Abs. 3 BGB)</w:t>
      </w:r>
    </w:p>
    <w:p>
      <w:pPr>
        <w:jc w:val="left"/>
      </w:pPr>
      <w:r>
        <w:rPr>
          <w:b/>
        </w:rPr>
        <w:t>Hinweis:</w:t>
      </w:r>
      <w:r>
        <w:t xml:space="preserve"> Spezifische Indemnities (FCPA, Korruption LA) sind vom allgemeinen Cap ausgenommen und unterliegen keinem Basket.</w:t>
      </w:r>
    </w:p>
    <w:p>
      <w:pPr>
        <w:pStyle w:val="Heading2"/>
      </w:pPr>
      <w:r>
        <w:rPr>
          <w:rFonts w:ascii="Times New Roman" w:hAnsi="Times New Roman"/>
        </w:rPr>
        <w:t>6. Rechtsgrundlagen</w:t>
      </w:r>
    </w:p>
    <w:p>
      <w:pPr>
        <w:pStyle w:val="ListBullet"/>
      </w:pPr>
      <w:r>
        <w:t>§§ 443 ff. BGB (Garantien beim Kauf)</w:t>
      </w:r>
    </w:p>
    <w:p>
      <w:pPr>
        <w:pStyle w:val="ListBullet"/>
      </w:pPr>
      <w:r>
        <w:t>§ 438 BGB (Verjährung beim Kauf)</w:t>
      </w:r>
    </w:p>
    <w:p>
      <w:pPr>
        <w:pStyle w:val="ListBullet"/>
      </w:pPr>
      <w:r>
        <w:t>§§ 280, 281 BGB (Schadenersatz)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438 BGB</w:t>
      </w:r>
    </w:p>
    <w:p>
      <w:pPr>
        <w:pStyle w:val="ListBullet"/>
      </w:pPr>
      <w:r>
        <w:t>dejure.org — § 443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