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Antitrust BKartA: Fusionskontrolle Phase I (B 8-188/26)</w:t>
      </w:r>
    </w:p>
    <w:p>
      <w:pPr>
        <w:jc w:val="left"/>
      </w:pPr>
      <w:r>
        <w:rPr>
          <w:b/>
        </w:rPr>
        <w:t>Datum:</w:t>
      </w:r>
      <w:r>
        <w:t xml:space="preserve"> 15. Januar 2026</w:t>
      </w:r>
    </w:p>
    <w:p>
      <w:pPr>
        <w:jc w:val="left"/>
      </w:pPr>
      <w:r>
        <w:rPr>
          <w:b/>
        </w:rPr>
        <w:t>Bearbeiter:</w:t>
      </w:r>
      <w:r>
        <w:t xml:space="preserve"> RAin Dr. Antonia von Wesselburen (Antitrust), RA Prof. Dr. Felix Mannfeldt</w:t>
      </w:r>
    </w:p>
    <w:p>
      <w:pPr>
        <w:jc w:val="left"/>
      </w:pPr>
      <w:r>
        <w:rPr>
          <w:b/>
        </w:rPr>
        <w:t>Aktenzeichen BKartA:</w:t>
      </w:r>
      <w:r>
        <w:t xml:space="preserve"> B 8-188/26</w:t>
      </w:r>
    </w:p>
    <w:p>
      <w:pPr>
        <w:jc w:val="left"/>
      </w:pPr>
      <w:r>
        <w:rPr>
          <w:b/>
        </w:rPr>
        <w:t>Referat:</w:t>
      </w:r>
      <w:r>
        <w:t xml:space="preserve"> Beschlussabteilung 8 (Medizintechnik und Pharma)</w:t>
      </w:r>
    </w:p>
    <w:p/>
    <w:p>
      <w:pPr>
        <w:pStyle w:val="Heading2"/>
      </w:pPr>
      <w:r>
        <w:rPr>
          <w:rFonts w:ascii="Times New Roman" w:hAnsi="Times New Roman"/>
        </w:rPr>
        <w:t>1. Anmeldepflicht</w:t>
      </w:r>
    </w:p>
    <w:p>
      <w:pPr>
        <w:jc w:val="left"/>
      </w:pPr>
      <w:r>
        <w:t>Gemäß §§ 35 ff. GWB war die Transaktion beim Bundeskartellamt (BKartA) in Bonn anmeldepflichtig, da sämtliche inländische Umsatzschwellen erreicht wurden:</w:t>
      </w:r>
    </w:p>
    <w:p>
      <w:pPr>
        <w:pStyle w:val="ListBullet"/>
      </w:pPr>
      <w:r>
        <w:t>Kombinierter weltweiter Umsatz der beteiligten Unternehmen: &gt; 500 Mio. EUR (§ 35 Abs. 1 Nr. 1 GWB)</w:t>
      </w:r>
    </w:p>
    <w:p>
      <w:pPr>
        <w:pStyle w:val="ListBullet"/>
      </w:pPr>
      <w:r>
        <w:t>Inländischer Umsatz VENERA (konsolidiert, Vorjahr): &gt; 25 Mio. EUR (§ 35 Abs. 1 Nr. 2 GWB)</w:t>
      </w:r>
    </w:p>
    <w:p>
      <w:pPr>
        <w:pStyle w:val="ListBullet"/>
      </w:pPr>
      <w:r>
        <w:t>Inländischer Umsatz FraktoMedis Präzision: &gt; 5 Mio. EUR (§ 35 Abs. 1 Nr. 3 GWB)</w:t>
      </w:r>
    </w:p>
    <w:p>
      <w:pPr>
        <w:jc w:val="left"/>
      </w:pPr>
      <w:r>
        <w:t>Die Anmeldung (Formblatt FB-ZBK) wurde am 15. Januar 2026 eingereicht.</w:t>
      </w:r>
    </w:p>
    <w:p>
      <w:pPr>
        <w:pStyle w:val="Heading2"/>
      </w:pPr>
      <w:r>
        <w:rPr>
          <w:rFonts w:ascii="Times New Roman" w:hAnsi="Times New Roman"/>
        </w:rPr>
        <w:t>2. Relevante Märkte</w:t>
      </w:r>
    </w:p>
    <w:p>
      <w:pPr>
        <w:pStyle w:val="Heading3"/>
      </w:pPr>
      <w:r>
        <w:rPr>
          <w:rFonts w:ascii="Times New Roman" w:hAnsi="Times New Roman"/>
        </w:rPr>
        <w:t>2.1 Sachliche Marktabgrenzung</w:t>
      </w:r>
    </w:p>
    <w:p>
      <w:pPr>
        <w:jc w:val="left"/>
      </w:pPr>
      <w:r>
        <w:rPr>
          <w:b/>
        </w:rPr>
        <w:t>Markt 1 — Chirurgische Frakturversorgungssysteme (Intramedullary Nails):</w:t>
      </w:r>
    </w:p>
    <w:p>
      <w:pPr>
        <w:jc w:val="left"/>
      </w:pPr>
      <w:r>
        <w:t>VENERA ist in diesem Markt bislang nicht direkt vertreten; der Erwerb gründet eine erstmalige Marktpräsenz.</w:t>
      </w:r>
    </w:p>
    <w:p>
      <w:pPr>
        <w:jc w:val="left"/>
      </w:pPr>
      <w:r>
        <w:rPr>
          <w:b/>
        </w:rPr>
        <w:t>Markt 2 — Orthopädische Implantate allgemein:</w:t>
      </w:r>
    </w:p>
    <w:p>
      <w:pPr>
        <w:jc w:val="left"/>
      </w:pPr>
      <w:r>
        <w:t>VENERA hält über Schwestergesellschaften einen Anteil von ca. 8% am deutschen Markt.</w:t>
      </w:r>
    </w:p>
    <w:p>
      <w:pPr>
        <w:pStyle w:val="Heading3"/>
      </w:pPr>
      <w:r>
        <w:rPr>
          <w:rFonts w:ascii="Times New Roman" w:hAnsi="Times New Roman"/>
        </w:rPr>
        <w:t>2.2 Räumliche Marktabgrenzung</w:t>
      </w:r>
    </w:p>
    <w:p>
      <w:pPr>
        <w:jc w:val="left"/>
      </w:pPr>
      <w:r>
        <w:t>Der sachlich relevante Markt erstreckt sich nach Einschätzung des Kanzleiteams auf den Europaischen Wirtschaftsraum (EWR). Gegenüber dem BKartA wurde ein nationaler Markt (Deutschland) als primär relevant vorgetragen.</w:t>
      </w:r>
    </w:p>
    <w:p>
      <w:pPr>
        <w:pStyle w:val="Heading2"/>
      </w:pPr>
      <w:r>
        <w:rPr>
          <w:rFonts w:ascii="Times New Roman" w:hAnsi="Times New Roman"/>
        </w:rPr>
        <w:t>3. Marktstruktur und Horizontale Effekte</w:t>
      </w:r>
    </w:p>
    <w:p>
      <w:pPr>
        <w:jc w:val="left"/>
      </w:pPr>
      <w:r>
        <w:t>Im deutschen Markt für Frakturversorgungssysteme sind die wesentlichen Anbieter: Stryker, Synthes (J&amp;J), Smith &amp; Nephew, Zimmer Biomet, FraktoMedis Präzision (Marktanteil ca. 12%).</w:t>
      </w:r>
    </w:p>
    <w:p>
      <w:pPr>
        <w:jc w:val="left"/>
      </w:pPr>
      <w:r>
        <w:t>VENERA selbst ist in diesem Segment bislang nicht tätig. Der Deal ist daher eher als konglomerater Zusammenschluss zu qualifizieren. Horizontale Überschneidungen bestehen allenfalls im Segment orthopädischer Implantate (indirekt über Beteiligungen).</w:t>
      </w:r>
    </w:p>
    <w:p>
      <w:pPr>
        <w:pStyle w:val="Heading2"/>
      </w:pPr>
      <w:r>
        <w:rPr>
          <w:rFonts w:ascii="Times New Roman" w:hAnsi="Times New Roman"/>
        </w:rPr>
        <w:t>4. Phase-I-Priufung</w:t>
      </w:r>
    </w:p>
    <w:p>
      <w:pPr>
        <w:jc w:val="left"/>
      </w:pPr>
      <w:r>
        <w:t>Das BKartA hat am 19. Januar 2026 den Eingang der vollständigen Anmeldung bestätigt. Prüfungsmonatsfrist (§ 40 Abs. 1 GWB): 1 Monat ab 19. Januar 2026, Ablauf 19. Februar 2026.</w:t>
      </w:r>
    </w:p>
    <w:p>
      <w:pPr>
        <w:jc w:val="left"/>
      </w:pPr>
      <w:r>
        <w:rPr>
          <w:b/>
        </w:rPr>
        <w:t>Ergebnis Phase I:</w:t>
      </w:r>
      <w:r>
        <w:t xml:space="preserve"> Das BKartA hat mit Bescheid vom 18. Februar 2026 die Transaktion freigegeben (B 8-188/26). Keine Auflagen.</w:t>
      </w:r>
    </w:p>
    <w:p>
      <w:pPr>
        <w:jc w:val="left"/>
      </w:pPr>
      <w:r>
        <w:rPr>
          <w:b/>
        </w:rPr>
        <w:t>Begründung (verkürzt):</w:t>
      </w:r>
      <w:r>
        <w:t xml:space="preserve"> Der Zusammenschluss begründet oder verstärkt keine marktbeherrschende Stellung. VENERA ist im relevanten Markt für Frakturversorgungssysteme bislang nicht präsent; horizontale Effekte fehlen.</w:t>
      </w:r>
    </w:p>
    <w:p>
      <w:pPr>
        <w:pStyle w:val="Heading2"/>
      </w:pPr>
      <w:r>
        <w:rPr>
          <w:rFonts w:ascii="Times New Roman" w:hAnsi="Times New Roman"/>
        </w:rPr>
        <w:t>5. Verhaltensanforderungen während der Pruefung (Gun-Jumping-Verbot)</w:t>
      </w:r>
    </w:p>
    <w:p>
      <w:pPr>
        <w:jc w:val="left"/>
      </w:pPr>
      <w:r>
        <w:t>Während der Prüfungsphase wurden die Parteien über das Gun-Jumping-Verbot (§ 41 Abs. 1 GWB) belehrt. Keinerlei Integration von Personal, IT oder Marktverhalten vor Freigabe.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35 GWB</w:t>
      </w:r>
    </w:p>
    <w:p>
      <w:pPr>
        <w:pStyle w:val="ListBullet"/>
      </w:pPr>
      <w:r>
        <w:t>dejure.org — § 40 GWB</w:t>
      </w:r>
    </w:p>
    <w:p>
      <w:pPr>
        <w:pStyle w:val="ListBullet"/>
      </w:pPr>
      <w:r>
        <w:t>dejure.org — § 41 GWB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