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 EU-Fusionskontrolle: Form CO (Case M.11244 — VENERA/FraktoMedis-Assets)</w:t>
      </w:r>
    </w:p>
    <w:p>
      <w:pPr>
        <w:jc w:val="left"/>
      </w:pPr>
      <w:r>
        <w:rPr>
          <w:b/>
        </w:rPr>
        <w:t>Datum:</w:t>
      </w:r>
      <w:r>
        <w:t xml:space="preserve"> 22. Januar 2026</w:t>
      </w:r>
    </w:p>
    <w:p>
      <w:pPr>
        <w:jc w:val="left"/>
      </w:pPr>
      <w:r>
        <w:rPr>
          <w:b/>
        </w:rPr>
        <w:t>Bearbeiter:</w:t>
      </w:r>
      <w:r>
        <w:t xml:space="preserve"> RAin Dr. Antonia von Wesselburen, RA Prof. Dr. Felix Mannfeldt</w:t>
      </w:r>
    </w:p>
    <w:p>
      <w:pPr>
        <w:jc w:val="left"/>
      </w:pPr>
      <w:r>
        <w:rPr>
          <w:b/>
        </w:rPr>
        <w:t>Aktenzeichen EU:</w:t>
      </w:r>
      <w:r>
        <w:t xml:space="preserve"> Case M.11244 — VENERA/FraktoMedis-Assets</w:t>
      </w:r>
    </w:p>
    <w:p>
      <w:pPr>
        <w:jc w:val="left"/>
      </w:pPr>
      <w:r>
        <w:rPr>
          <w:b/>
        </w:rPr>
        <w:t>Zuständig:</w:t>
      </w:r>
      <w:r>
        <w:t xml:space="preserve"> Europäische Kommission, Generaldirektion Wettbewerb (DG COMP)</w:t>
      </w:r>
    </w:p>
    <w:p/>
    <w:p>
      <w:pPr>
        <w:pStyle w:val="Heading2"/>
      </w:pPr>
      <w:r>
        <w:rPr>
          <w:rFonts w:ascii="Times New Roman" w:hAnsi="Times New Roman"/>
        </w:rPr>
        <w:t>1. EU-Anmeldepflicht</w:t>
      </w:r>
    </w:p>
    <w:p>
      <w:pPr>
        <w:jc w:val="left"/>
      </w:pPr>
      <w:r>
        <w:t>Die Transaktion überschreitet die EU-Aufgreifkriterien gemäß Art. 1 Abs. 2 FKVO (VO (EG) 139/2004):</w:t>
      </w:r>
    </w:p>
    <w:p>
      <w:pPr>
        <w:pStyle w:val="ListBullet"/>
      </w:pPr>
      <w:r>
        <w:t>Kombinierter weltweiter Umsatz &gt; 5 Mrd. EUR (VENERA-Konzern inkl. Beteiligungen)</w:t>
      </w:r>
    </w:p>
    <w:p>
      <w:pPr>
        <w:pStyle w:val="ListBullet"/>
      </w:pPr>
      <w:r>
        <w:t>EU-weiter Umsatz jedes Unternehmens &gt; 250 Mio. EUR</w:t>
      </w:r>
    </w:p>
    <w:p>
      <w:pPr>
        <w:jc w:val="left"/>
      </w:pPr>
      <w:r>
        <w:t>Die Anmeldung beim DG COMP (Form CO, vereinfachtes Verfahren wurde geprüft und abgelehnt) wurde am 22. Januar 2026 eingereicht.</w:t>
      </w:r>
    </w:p>
    <w:p>
      <w:pPr>
        <w:pStyle w:val="Heading2"/>
      </w:pPr>
      <w:r>
        <w:rPr>
          <w:rFonts w:ascii="Times New Roman" w:hAnsi="Times New Roman"/>
        </w:rPr>
        <w:t>2. Marktanalyse</w:t>
      </w:r>
    </w:p>
    <w:p>
      <w:pPr>
        <w:pStyle w:val="Heading3"/>
      </w:pPr>
      <w:r>
        <w:rPr>
          <w:rFonts w:ascii="Times New Roman" w:hAnsi="Times New Roman"/>
        </w:rPr>
        <w:t>2.1 Produktmärkte</w:t>
      </w:r>
    </w:p>
    <w:p>
      <w:pPr>
        <w:jc w:val="left"/>
      </w:pPr>
      <w:r>
        <w:rPr>
          <w:b/>
        </w:rPr>
        <w:t>Relevanter Markt:</w:t>
      </w:r>
      <w:r>
        <w:t xml:space="preserve"> Chirurgische Implantate zur Frakturversorgung (Intramedullary Systems) — EU-weit.</w:t>
      </w:r>
    </w:p>
    <w:p>
      <w:pPr>
        <w:jc w:val="left"/>
      </w:pPr>
      <w:r>
        <w:rPr>
          <w:b/>
        </w:rPr>
        <w:t>Marktanteile (Schätzung, 2024):</w:t>
      </w:r>
    </w:p>
    <w:p>
      <w:pPr>
        <w:pStyle w:val="ListBullet"/>
      </w:pPr>
      <w:r>
        <w:t>Stryker: ca. 28%</w:t>
      </w:r>
    </w:p>
    <w:p>
      <w:pPr>
        <w:pStyle w:val="ListBullet"/>
      </w:pPr>
      <w:r>
        <w:t>Synthes (J&amp;J): ca. 22%</w:t>
      </w:r>
    </w:p>
    <w:p>
      <w:pPr>
        <w:pStyle w:val="ListBullet"/>
      </w:pPr>
      <w:r>
        <w:t>Smith &amp; Nephew: ca. 14%</w:t>
      </w:r>
    </w:p>
    <w:p>
      <w:pPr>
        <w:pStyle w:val="ListBullet"/>
      </w:pPr>
      <w:r>
        <w:t>FraktoMedis Präzision: ca. 9%</w:t>
      </w:r>
    </w:p>
    <w:p>
      <w:pPr>
        <w:pStyle w:val="ListBullet"/>
      </w:pPr>
      <w:r>
        <w:t>VENERA (Neueinsteiger): 0%</w:t>
      </w:r>
    </w:p>
    <w:p>
      <w:pPr>
        <w:jc w:val="left"/>
      </w:pPr>
      <w:r>
        <w:t>Da VENERA bislang in diesem Markt nicht aktiv ist, wird der Zusammenschluss als konglomerat eingestuft. Eine marktbeherrschende Stellung entsteht nach vorlaeuﬁger Bewertung nicht.</w:t>
      </w:r>
    </w:p>
    <w:p>
      <w:pPr>
        <w:pStyle w:val="Heading2"/>
      </w:pPr>
      <w:r>
        <w:rPr>
          <w:rFonts w:ascii="Times New Roman" w:hAnsi="Times New Roman"/>
        </w:rPr>
        <w:t>3. Phase-II-Drohung</w:t>
      </w:r>
    </w:p>
    <w:p>
      <w:pPr>
        <w:jc w:val="left"/>
      </w:pPr>
      <w:r>
        <w:t>In einem frühen Schreiben der DG COMP (State of Play, 3. Februar 2026) wurde signalisiert, dass die Kommission die Abgrenzung des relevanten Marktes prüfen möchte, da VENERA über Schwestergesellschaften in angrenzenden Märkten (Orthopädie allgemein) Marktanteile von 12–15% halte. Eine Phase-II-Einleitung könnte drohen, falls Portfolioeffekte als marktbeherrschend eingestuft würden.</w:t>
      </w:r>
    </w:p>
    <w:p>
      <w:pPr>
        <w:jc w:val="left"/>
      </w:pPr>
      <w:r>
        <w:rPr>
          <w:b/>
        </w:rPr>
        <w:t>Reaktion des Kanzleiteams:</w:t>
      </w:r>
      <w:r>
        <w:t xml:space="preserve"> RAin von Wesselburen hat in einem Gespräch mit dem Case Team der DG COMP (7. Februar 2026) klargestellt, dass Synergieeffekte keine wettbewerbsschaedliche Wirkung entfalten und die Marktanteile in den angrenzenden Märkten deutlich unter 25% verbleiben. Zugestaendnisangebot: Behavioral Remedies (Lizenzierung bestimmter Technologien an Wettbewerber auf Anfrage).</w:t>
      </w:r>
    </w:p>
    <w:p>
      <w:pPr>
        <w:pStyle w:val="Heading2"/>
      </w:pPr>
      <w:r>
        <w:rPr>
          <w:rFonts w:ascii="Times New Roman" w:hAnsi="Times New Roman"/>
        </w:rPr>
        <w:t>4. Ergebnis</w:t>
      </w:r>
    </w:p>
    <w:p>
      <w:pPr>
        <w:jc w:val="left"/>
      </w:pPr>
      <w:r>
        <w:t>Mit Entscheidung vom 4. März 2026 hat die Europäische Kommission die Transaktion in Phase I genehmigt (Case M.11244). Kein Eintritt in Phase II. Die Freigabe ist an keine Auflagen gebunden.</w:t>
      </w:r>
    </w:p>
    <w:p>
      <w:pPr>
        <w:pStyle w:val="Heading2"/>
      </w:pPr>
      <w:r>
        <w:rPr>
          <w:rFonts w:ascii="Times New Roman" w:hAnsi="Times New Roman"/>
        </w:rPr>
        <w:t>5. Rechtsgrundlagen</w:t>
      </w:r>
    </w:p>
    <w:p>
      <w:pPr>
        <w:pStyle w:val="ListBullet"/>
      </w:pPr>
      <w:r>
        <w:t>Art. 1, 6 FKVO (VO (EG) 139/2004)</w:t>
      </w:r>
    </w:p>
    <w:p>
      <w:pPr>
        <w:pStyle w:val="ListBullet"/>
      </w:pPr>
      <w:r>
        <w:t>Art. 102 AEUV (Missbrauch marktbeherrschender Stellung)</w:t>
      </w:r>
    </w:p>
    <w:p/>
    <w:p>
      <w:pPr>
        <w:jc w:val="left"/>
      </w:pPr>
      <w:r>
        <w:rPr>
          <w:b/>
        </w:rPr>
        <w:t>Quellen:</w:t>
      </w:r>
    </w:p>
    <w:p>
      <w:pPr>
        <w:pStyle w:val="ListBullet"/>
      </w:pPr>
      <w:r>
        <w:t>dejure.org — GWB § 35</w:t>
      </w:r>
    </w:p>
    <w:p>
      <w:pPr>
        <w:pStyle w:val="ListBullet"/>
      </w:pPr>
      <w:r>
        <w:t>EU-Kommission DG COMP: https://ec.europa.eu/competition/mergers/cases/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