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 FCPA / DOJ Subpoena / Strafrechtsrisiko</w:t>
      </w:r>
    </w:p>
    <w:p>
      <w:pPr>
        <w:jc w:val="left"/>
      </w:pPr>
      <w:r>
        <w:rPr>
          <w:b/>
        </w:rPr>
        <w:t>Datum:</w:t>
      </w:r>
      <w:r>
        <w:t xml:space="preserve"> Dezember 2025 — laufend</w:t>
      </w:r>
    </w:p>
    <w:p>
      <w:pPr>
        <w:jc w:val="left"/>
      </w:pPr>
      <w:r>
        <w:rPr>
          <w:b/>
        </w:rPr>
        <w:t>Bearbeiter:</w:t>
      </w:r>
      <w:r>
        <w:t xml:space="preserve"> RA Prof. Dr. Felix Mannfeldt (koordinierend), externe US-Counsel: Covington &amp; Burling LLP (Washington D.C.)</w:t>
      </w:r>
    </w:p>
    <w:p/>
    <w:p>
      <w:pPr>
        <w:pStyle w:val="Heading2"/>
      </w:pPr>
      <w:r>
        <w:rPr>
          <w:rFonts w:ascii="Times New Roman" w:hAnsi="Times New Roman"/>
        </w:rPr>
        <w:t>1. Sachverhalt</w:t>
      </w:r>
    </w:p>
    <w:p>
      <w:pPr>
        <w:jc w:val="left"/>
      </w:pPr>
      <w:r>
        <w:t>Im November 2025 wurde bekannt, dass dem US-Tochterunternehmen FraktoMedis Inc. (Wilmington, Delaware) durch das Department of Justice (DOJ), Criminal Division, ein Grand Jury Subpoena zugeleitet wurde. Der Subpoena betrifft mutmaßliche Bid-Rigging-Arrangements bei Krankenhausbeschaffungsausschreibungen (mehrere US-Bundesstaaten, 2021–2024).</w:t>
      </w:r>
    </w:p>
    <w:p>
      <w:pPr>
        <w:jc w:val="left"/>
      </w:pPr>
      <w:r>
        <w:t>Parallel besteht der Verdacht einer Verletzung des US Foreign Corrupt Practices Act (FCPA) im Zusammenhang mit den bereits unter COM-03 identifizierten Lateinamerika-Sachverhalten (Brasilien, Mexiko, 2022).</w:t>
      </w:r>
    </w:p>
    <w:p>
      <w:pPr>
        <w:pStyle w:val="Heading2"/>
      </w:pPr>
      <w:r>
        <w:rPr>
          <w:rFonts w:ascii="Times New Roman" w:hAnsi="Times New Roman"/>
        </w:rPr>
        <w:t>2. FCPA-Rechtslage</w:t>
      </w:r>
    </w:p>
    <w:p>
      <w:pPr>
        <w:jc w:val="left"/>
      </w:pPr>
      <w:r>
        <w:t>Der FCPA verbietet US-Unternehmen sowie Personen und Unternehmen, die in den USA geschäftlich tätig sind, die Zahlung von Bestechungsgeldern an ausländische Amtsträger. Verboten sind sowohl direkte Zahlungen als auch indirekte Zahlungen über Intermediäre (Berater, Distributoren).</w:t>
      </w:r>
    </w:p>
    <w:p>
      <w:pPr>
        <w:jc w:val="left"/>
      </w:pPr>
      <w:r>
        <w:t>FraktoMedis Inc. ist als US-Tochtergesellschaft unmittelbar FCPA-pflichtig. Die deutschen Muttergesellschaft FraktoMedis SE könnte als "issuer" oder "domestic concern" ebenfalls betroffen sein.</w:t>
      </w:r>
    </w:p>
    <w:p>
      <w:pPr>
        <w:jc w:val="left"/>
      </w:pPr>
      <w:r>
        <w:rPr>
          <w:b/>
        </w:rPr>
        <w:t>Risikobewertung für VENERA als potenzielle Erwerberin:</w:t>
      </w:r>
    </w:p>
    <w:p>
      <w:pPr>
        <w:pStyle w:val="ListBullet"/>
      </w:pPr>
      <w:r>
        <w:t>Bei Einbeziehung der US-Tochter in den Asset Deal: Sukzession von FCPA-Risiken möglich</w:t>
      </w:r>
    </w:p>
    <w:p>
      <w:pPr>
        <w:pStyle w:val="ListBullet"/>
      </w:pPr>
      <w:r>
        <w:t>Bei Ausklammern der US-Tochter: Risiko reduziert, aber nicht eliminiert (historische Sachverhalte der deutschen Einheit berühren US-Transaktionen)</w:t>
      </w:r>
    </w:p>
    <w:p>
      <w:pPr>
        <w:pStyle w:val="Heading2"/>
      </w:pPr>
      <w:r>
        <w:rPr>
          <w:rFonts w:ascii="Times New Roman" w:hAnsi="Times New Roman"/>
        </w:rPr>
        <w:t>3. Massnahmen</w:t>
      </w:r>
    </w:p>
    <w:p>
      <w:pPr>
        <w:pStyle w:val="ListBullet"/>
      </w:pPr>
      <w:r>
        <w:t>FraktoMedis Inc. wurde vorläufig aus dem Asset-Deal-Scope ausgeklammert (Empfehlung Red-Flag-Memorandum)</w:t>
      </w:r>
    </w:p>
    <w:p>
      <w:pPr>
        <w:pStyle w:val="ListBullet"/>
      </w:pPr>
      <w:r>
        <w:t>Covington &amp; Burling LLP wurde als US-Counsel mandatiert (Spezialisierung: FCPA und weisser Kragen-Strafrecht)</w:t>
      </w:r>
    </w:p>
    <w:p>
      <w:pPr>
        <w:pStyle w:val="ListBullet"/>
      </w:pPr>
      <w:r>
        <w:t>Vollständiger Datenzugang für US-Counsel im Datenraum gewährt (separater, eingeschränkter Datenraum-Bereich)</w:t>
      </w:r>
    </w:p>
    <w:p>
      <w:pPr>
        <w:pStyle w:val="ListBullet"/>
      </w:pPr>
      <w:r>
        <w:t>Kontakt mit DOJ-Prosecution Team aufgenommen (kein Geständnis; reine Informationsanfrage)</w:t>
      </w:r>
    </w:p>
    <w:p>
      <w:pPr>
        <w:pStyle w:val="Heading2"/>
      </w:pPr>
      <w:r>
        <w:rPr>
          <w:rFonts w:ascii="Times New Roman" w:hAnsi="Times New Roman"/>
        </w:rPr>
        <w:t>4. Strafrechtliche Exposure Deutschland</w:t>
      </w:r>
    </w:p>
    <w:p>
      <w:pPr>
        <w:jc w:val="left"/>
      </w:pPr>
      <w:r>
        <w:t>Gemäß §§ 299, 331 ff. StGB sowie § 30 OWiG besteht potenzielle Unternehmenshaftung der FraktoMedis SE in Deutschland. Das HinSchG-Hinweisgeber-Verfahren wurde ordnungsgemaess eingeleitet.</w:t>
      </w:r>
    </w:p>
    <w:p>
      <w:pPr>
        <w:jc w:val="left"/>
      </w:pPr>
      <w:r>
        <w:t>Für VENERA relevant: Käufer eines Unternehmens in der Krise übernimmt keine strafrechtliche Verantwortung für Taten der Zielgesellschaft, wenn er keine Kenntnis hatte und angemessene Compliance-Massnahmen ergreift. Dennoch: Reputation und regulatorische Compliance muss gemäß internen VENERA-Richtlinien gewahrt werden.</w:t>
      </w:r>
    </w:p>
    <w:p>
      <w:pPr>
        <w:pStyle w:val="Heading2"/>
      </w:pPr>
      <w:r>
        <w:rPr>
          <w:rFonts w:ascii="Times New Roman" w:hAnsi="Times New Roman"/>
        </w:rPr>
        <w:t>5. Anpassung SPA</w:t>
      </w:r>
    </w:p>
    <w:p>
      <w:pPr>
        <w:pStyle w:val="ListBullet"/>
      </w:pPr>
      <w:r>
        <w:t>Uneingeschränkte FCPA/DOJ-Indemnity des Verkaefers (kein Cap, kein Basket)</w:t>
      </w:r>
    </w:p>
    <w:p>
      <w:pPr>
        <w:pStyle w:val="ListBullet"/>
      </w:pPr>
      <w:r>
        <w:t>Specific Indemnity für alle vor Closing veranlassten Massnahmen</w:t>
      </w:r>
    </w:p>
    <w:p>
      <w:pPr>
        <w:pStyle w:val="ListBullet"/>
      </w:pPr>
      <w:r>
        <w:t>Compliance-Zusicherung: FraktoMedis SE versichert, vollständige Kooperation mit DOJ</w:t>
      </w:r>
    </w:p>
    <w:p/>
    <w:p>
      <w:pPr>
        <w:jc w:val="left"/>
      </w:pPr>
      <w:r>
        <w:rPr>
          <w:b/>
        </w:rPr>
        <w:t>Quellen:</w:t>
      </w:r>
    </w:p>
    <w:p>
      <w:pPr>
        <w:pStyle w:val="ListBullet"/>
      </w:pPr>
      <w:r>
        <w:t>dejure.org — § 299 StGB</w:t>
      </w:r>
    </w:p>
    <w:p>
      <w:pPr>
        <w:pStyle w:val="ListBullet"/>
      </w:pPr>
      <w:r>
        <w:t>dejure.org — § 30 OWiG</w:t>
      </w:r>
    </w:p>
    <w:p>
      <w:pPr>
        <w:pStyle w:val="ListBullet"/>
      </w:pPr>
      <w:r>
        <w:t>dejure.org — HinSchG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