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17 — Betriebsübergang nach § 613a BGB</w:t>
      </w:r>
    </w:p>
    <w:p>
      <w:pPr>
        <w:jc w:val="left"/>
      </w:pPr>
      <w:r>
        <w:rPr>
          <w:b/>
        </w:rPr>
        <w:t>Datum:</w:t>
      </w:r>
      <w:r>
        <w:t xml:space="preserve"> Januar–Februar 2026</w:t>
      </w:r>
    </w:p>
    <w:p>
      <w:pPr>
        <w:jc w:val="left"/>
      </w:pPr>
      <w:r>
        <w:rPr>
          <w:b/>
        </w:rPr>
        <w:t>Bearbeiter:</w:t>
      </w:r>
      <w:r>
        <w:t xml:space="preserve"> RAin Dr. Petra Kammerlohr, RA Julius Ravensberg</w:t>
      </w:r>
    </w:p>
    <w:p/>
    <w:p>
      <w:pPr>
        <w:pStyle w:val="Heading2"/>
      </w:pPr>
      <w:r>
        <w:rPr>
          <w:rFonts w:ascii="Times New Roman" w:hAnsi="Times New Roman"/>
        </w:rPr>
        <w:t>1. Rechtlicher Rahmen</w:t>
      </w:r>
    </w:p>
    <w:p>
      <w:pPr>
        <w:jc w:val="left"/>
      </w:pPr>
      <w:r>
        <w:t>Gemäß § 613a Abs. 1 BGB tritt bei einem Betriebsübergang der neue Inhaber in die Rechte und Pflichten aus den zum Zeitpunkt des Übergangs bestehenden Arbeitsverhältnissen ein. Der Asset Deal über den Geschäftsbereich FraktoMedis Präzision erfullt sämtliche Voraussetzungen eines Betriebsübergangs:</w:t>
      </w:r>
    </w:p>
    <w:p>
      <w:pPr>
        <w:pStyle w:val="ListBullet"/>
      </w:pPr>
      <w:r>
        <w:t>Übergang eines funktionierenden Betriebs (wirtschaftliche Einheit)</w:t>
      </w:r>
    </w:p>
    <w:p>
      <w:pPr>
        <w:pStyle w:val="ListBullet"/>
      </w:pPr>
      <w:r>
        <w:t>Wahrung der Identität der wirtschaftlichen Einheit</w:t>
      </w:r>
    </w:p>
    <w:p>
      <w:pPr>
        <w:pStyle w:val="ListBullet"/>
      </w:pPr>
      <w:r>
        <w:t>Erwerb durch Rechtsgeschäft (Asset Purchase Agreement)</w:t>
      </w:r>
    </w:p>
    <w:p>
      <w:pPr>
        <w:jc w:val="left"/>
      </w:pPr>
      <w:r>
        <w:t>Zur europäischen Harmonisierung: § 613a BGB setzt die Betriebsubergjangsrichtlinie 2001/23/EG um.</w:t>
      </w:r>
    </w:p>
    <w:p>
      <w:pPr>
        <w:pStyle w:val="Heading2"/>
      </w:pPr>
      <w:r>
        <w:rPr>
          <w:rFonts w:ascii="Times New Roman" w:hAnsi="Times New Roman"/>
        </w:rPr>
        <w:t>2. Unterrichtungspflicht (§ 613a Abs. 5 BGB)</w:t>
      </w:r>
    </w:p>
    <w:p>
      <w:pPr>
        <w:jc w:val="left"/>
      </w:pPr>
      <w:r>
        <w:t>Jeder betroffene Arbeitnehmer ist vor dem Übergang schriftlich zu unterrichten über:</w:t>
      </w:r>
    </w:p>
    <w:p>
      <w:pPr>
        <w:pStyle w:val="ListNumber"/>
      </w:pPr>
      <w:r>
        <w:t>Datum oder geplanten Zeitpunkt des Übergangs</w:t>
      </w:r>
    </w:p>
    <w:p>
      <w:pPr>
        <w:pStyle w:val="ListNumber"/>
      </w:pPr>
      <w:r>
        <w:t>Grund des Übergangs</w:t>
      </w:r>
    </w:p>
    <w:p>
      <w:pPr>
        <w:pStyle w:val="ListNumber"/>
      </w:pPr>
      <w:r>
        <w:t>Rechtliche, wirtschaftliche und soziale Folgen</w:t>
      </w:r>
    </w:p>
    <w:p>
      <w:pPr>
        <w:pStyle w:val="ListNumber"/>
      </w:pPr>
      <w:r>
        <w:t>Hinsichtlich der Arbeitnehmer in Aussicht genommene Massnahmen</w:t>
      </w:r>
    </w:p>
    <w:p>
      <w:pPr>
        <w:jc w:val="left"/>
      </w:pPr>
      <w:r>
        <w:t>Das Unterrichtungsschreiben wurde am 15. Februar 2026 (Datum der Freigabe BKartA bekannt) versandt.</w:t>
      </w:r>
    </w:p>
    <w:p>
      <w:pPr>
        <w:jc w:val="left"/>
      </w:pPr>
      <w:r>
        <w:rPr>
          <w:b/>
        </w:rPr>
        <w:t>Inhalt des Unterrichtungsschreibens:</w:t>
      </w:r>
    </w:p>
    <w:p>
      <w:pPr>
        <w:pStyle w:val="ListBullet"/>
      </w:pPr>
      <w:r>
        <w:t>Beschreibung der wirtschaftlichen Einheit</w:t>
      </w:r>
    </w:p>
    <w:p>
      <w:pPr>
        <w:pStyle w:val="ListBullet"/>
      </w:pPr>
      <w:r>
        <w:t>Angaben zu VENERA als aufnehmendem Unternehmen</w:t>
      </w:r>
    </w:p>
    <w:p>
      <w:pPr>
        <w:pStyle w:val="ListBullet"/>
      </w:pPr>
      <w:r>
        <w:t>Fortbestand aller Tarifvertragsbindungen gemäß § 613a Abs. 1 Satz 3 BGB (Mindestens 1 Jahr)</w:t>
      </w:r>
    </w:p>
    <w:p>
      <w:pPr>
        <w:pStyle w:val="ListBullet"/>
      </w:pPr>
      <w:r>
        <w:t>Widerspruchsrecht (§ 613a Abs. 6 BGB): Frist 1 Monat ab Zugang</w:t>
      </w:r>
    </w:p>
    <w:p>
      <w:pPr>
        <w:pStyle w:val="Heading2"/>
      </w:pPr>
      <w:r>
        <w:rPr>
          <w:rFonts w:ascii="Times New Roman" w:hAnsi="Times New Roman"/>
        </w:rPr>
        <w:t>3. Widerspruchsrecht der Arbeitnehmer</w:t>
      </w:r>
    </w:p>
    <w:p>
      <w:pPr>
        <w:jc w:val="left"/>
      </w:pPr>
      <w:r>
        <w:t>Jeder Arbeitnehmer hat das Recht, dem Betriebsübergang zu widersprechen (§ 613a Abs. 6 BGB). Widerspruch ist innerhalb eines Monats nach Unterrichtung möglich.</w:t>
      </w:r>
    </w:p>
    <w:p>
      <w:pPr>
        <w:jc w:val="left"/>
      </w:pPr>
      <w:r>
        <w:rPr>
          <w:b/>
        </w:rPr>
        <w:t>Risikobewertung:</w:t>
      </w:r>
      <w:r>
        <w:t xml:space="preserve"> Ca. 40 Mitarbeiter (aus LDD L-02) haben Widerspruch in Aussicht gestellt. Folge eines Widerspruchs: Verbleib beim Veraeusserer FraktoMedis SE; dort droht Kündigung aus betriebsbedingten Gründen.</w:t>
      </w:r>
    </w:p>
    <w:p>
      <w:pPr>
        <w:jc w:val="left"/>
      </w:pPr>
      <w:r>
        <w:rPr>
          <w:b/>
        </w:rPr>
        <w:t>Massnahmen VENERA:</w:t>
      </w:r>
    </w:p>
    <w:p>
      <w:pPr>
        <w:pStyle w:val="ListBullet"/>
      </w:pPr>
      <w:r>
        <w:t>Besondere Incentivierung für Schlüsselpersonal (Retention Bonuses)</w:t>
      </w:r>
    </w:p>
    <w:p>
      <w:pPr>
        <w:pStyle w:val="ListBullet"/>
      </w:pPr>
      <w:r>
        <w:t>Offene Kommunikation durch VENERA-Management</w:t>
      </w:r>
    </w:p>
    <w:p>
      <w:pPr>
        <w:pStyle w:val="ListBullet"/>
      </w:pPr>
      <w:r>
        <w:t>Informationsveranstaltungen für alle 280 Mitarbeiter am Standort Darmstadt-Nord</w:t>
      </w:r>
    </w:p>
    <w:p>
      <w:pPr>
        <w:pStyle w:val="Heading2"/>
      </w:pPr>
      <w:r>
        <w:rPr>
          <w:rFonts w:ascii="Times New Roman" w:hAnsi="Times New Roman"/>
        </w:rPr>
        <w:t>4. Tarifvertragskontinuität</w:t>
      </w:r>
    </w:p>
    <w:p>
      <w:pPr>
        <w:jc w:val="left"/>
      </w:pPr>
      <w:r>
        <w:t>Gemäß § 613a Abs. 1 Satz 2 und 3 BGB gilt der Tarifvertrag Metall- und Elektroindustrie Hessen für 1 Jahr nach Übergang ungekündigt fort, sofern VENERA nicht selbst tarifgebunden ist. VENERA ist nicht Mitglied des Arbeitgeberverbands Metall- und Elektroindustrie Hessen. Daher: 1 Jahr Tarifkontinuität.</w:t>
      </w:r>
    </w:p>
    <w:p>
      <w:pPr>
        <w:pStyle w:val="Heading2"/>
      </w:pPr>
      <w:r>
        <w:rPr>
          <w:rFonts w:ascii="Times New Roman" w:hAnsi="Times New Roman"/>
        </w:rPr>
        <w:t>5. Konsultationspflicht mit dem Betriebsrat</w:t>
      </w:r>
    </w:p>
    <w:p>
      <w:pPr>
        <w:jc w:val="left"/>
      </w:pPr>
      <w:r>
        <w:t>Der Betriebsrat hat ein Unterrichtungs- und Beratungsrecht gemäß § 111 BetrVG bei wesentlichen Betriebsänderungen. Die Unterrichtung des Betriebsrats erfolgte am 10. Februar 2026. Beratungsgespräche: 17. und 24. Februar 2026.</w:t>
      </w:r>
    </w:p>
    <w:p/>
    <w:p>
      <w:pPr>
        <w:jc w:val="left"/>
      </w:pPr>
      <w:r>
        <w:rPr>
          <w:b/>
        </w:rPr>
        <w:t>Quellen:</w:t>
      </w:r>
    </w:p>
    <w:p>
      <w:pPr>
        <w:pStyle w:val="ListBullet"/>
      </w:pPr>
      <w:r>
        <w:t>dejure.org — § 613a BGB</w:t>
      </w:r>
    </w:p>
    <w:p>
      <w:pPr>
        <w:pStyle w:val="ListBullet"/>
      </w:pPr>
      <w:r>
        <w:t>dejure.org — § 111 BetrVG</w:t>
      </w:r>
    </w:p>
    <w:p>
      <w:pPr>
        <w:pStyle w:val="ListBullet"/>
      </w:pPr>
      <w:r>
        <w:t>openjur.de — BAG-Urteile zu § 613a BGB</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