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18 — Sozialplan-Verhandlung: Betriebsrat Darmstadt</w:t>
      </w:r>
    </w:p>
    <w:p>
      <w:pPr>
        <w:jc w:val="left"/>
      </w:pPr>
      <w:r>
        <w:rPr>
          <w:b/>
        </w:rPr>
        <w:t>Datum:</w:t>
      </w:r>
      <w:r>
        <w:t xml:space="preserve"> Februar–April 2026</w:t>
      </w:r>
    </w:p>
    <w:p>
      <w:pPr>
        <w:jc w:val="left"/>
      </w:pPr>
      <w:r>
        <w:rPr>
          <w:b/>
        </w:rPr>
        <w:t>Bearbeiter:</w:t>
      </w:r>
      <w:r>
        <w:t xml:space="preserve"> RAin Dr. Petra Kammerlohr</w:t>
      </w:r>
    </w:p>
    <w:p>
      <w:pPr>
        <w:jc w:val="left"/>
      </w:pPr>
      <w:r>
        <w:rPr>
          <w:b/>
        </w:rPr>
        <w:t>Betriebsrat:</w:t>
      </w:r>
      <w:r>
        <w:t xml:space="preserve"> Darmstadt-Nord, Vorsitzender Manfred Groetzsch</w:t>
      </w:r>
    </w:p>
    <w:p>
      <w:pPr>
        <w:jc w:val="left"/>
      </w:pPr>
      <w:r>
        <w:rPr>
          <w:b/>
        </w:rPr>
        <w:t>VENERA-Verhandlungsführung:</w:t>
      </w:r>
      <w:r>
        <w:t xml:space="preserve"> Theodora Volkenrath-Eichelmann (GF), RAin Kammerlohr</w:t>
      </w:r>
    </w:p>
    <w:p/>
    <w:p>
      <w:pPr>
        <w:pStyle w:val="Heading2"/>
      </w:pPr>
      <w:r>
        <w:rPr>
          <w:rFonts w:ascii="Times New Roman" w:hAnsi="Times New Roman"/>
        </w:rPr>
        <w:t>1. Hintergrund</w:t>
      </w:r>
    </w:p>
    <w:p>
      <w:pPr>
        <w:jc w:val="left"/>
      </w:pPr>
      <w:r>
        <w:t>Im Zusammenhang mit dem Betriebsübergang und der beabsichtigten Restrukturierung nach Closing hat der Betriebsrat Darmstadt umfangreiche Forderungen gestellt und die Einleitung eines Interessenausgleich- und Sozialplanverfahrens gemäß §§ 111–113 BetrVG verlangt.</w:t>
      </w:r>
    </w:p>
    <w:p>
      <w:pPr>
        <w:pStyle w:val="Heading2"/>
      </w:pPr>
      <w:r>
        <w:rPr>
          <w:rFonts w:ascii="Times New Roman" w:hAnsi="Times New Roman"/>
        </w:rPr>
        <w:t>2. Forderungen des Betriebsrats</w:t>
      </w:r>
    </w:p>
    <w:p>
      <w:pPr>
        <w:pStyle w:val="ListNumber"/>
      </w:pPr>
      <w:r>
        <w:rPr>
          <w:b/>
        </w:rPr>
        <w:t>Standortgarantie:</w:t>
      </w:r>
      <w:r>
        <w:t xml:space="preserve"> 5 Jahre Bestandsgarantie für den Standort Darmstadt-Nord (bis 31. Juli 2031)</w:t>
      </w:r>
    </w:p>
    <w:p>
      <w:pPr>
        <w:pStyle w:val="ListNumber"/>
      </w:pPr>
      <w:r>
        <w:rPr>
          <w:b/>
        </w:rPr>
        <w:t>Beschäftigungsgarantie:</w:t>
      </w:r>
      <w:r>
        <w:t xml:space="preserve"> Keine betriebsbedingten Kündigungen während der Standortgarantiezeit</w:t>
      </w:r>
    </w:p>
    <w:p>
      <w:pPr>
        <w:pStyle w:val="ListNumber"/>
      </w:pPr>
      <w:r>
        <w:rPr>
          <w:b/>
        </w:rPr>
        <w:t>Sozialplan:</w:t>
      </w:r>
      <w:r>
        <w:t xml:space="preserve"> Abfindungsformel für den Fall späterer Restrukturierungen</w:t>
      </w:r>
    </w:p>
    <w:p>
      <w:pPr>
        <w:pStyle w:val="ListNumber"/>
      </w:pPr>
      <w:r>
        <w:rPr>
          <w:b/>
        </w:rPr>
        <w:t>Betriebsrat-Teilnahme:</w:t>
      </w:r>
      <w:r>
        <w:t xml:space="preserve"> Mitspracherecht bei Wesentlichen Investitionsentscheidungen</w:t>
      </w:r>
    </w:p>
    <w:p>
      <w:pPr>
        <w:pStyle w:val="ListNumber"/>
      </w:pPr>
      <w:r>
        <w:rPr>
          <w:b/>
        </w:rPr>
        <w:t>Tarifbindung:</w:t>
      </w:r>
      <w:r>
        <w:t xml:space="preserve"> Beitritt VENERA zum Arbeitgeberverband Metall- und Elektroindustrie Hessen</w:t>
      </w:r>
    </w:p>
    <w:p>
      <w:pPr>
        <w:pStyle w:val="Heading2"/>
      </w:pPr>
      <w:r>
        <w:rPr>
          <w:rFonts w:ascii="Times New Roman" w:hAnsi="Times New Roman"/>
        </w:rPr>
        <w:t>3. VENERA-Gegenposition</w:t>
      </w:r>
    </w:p>
    <w:p>
      <w:pPr>
        <w:pStyle w:val="ListBullet"/>
      </w:pPr>
      <w:r>
        <w:rPr>
          <w:b/>
        </w:rPr>
        <w:t>Standortgarantie:</w:t>
      </w:r>
      <w:r>
        <w:t xml:space="preserve"> Bereitschaft zu 3 Jahren (bis 31. Juli 2029), mit Öffnungsklausel bei wirtschaftlicher Notlage (Material Adverse Change)</w:t>
      </w:r>
    </w:p>
    <w:p>
      <w:pPr>
        <w:pStyle w:val="ListBullet"/>
      </w:pPr>
      <w:r>
        <w:rPr>
          <w:b/>
        </w:rPr>
        <w:t>Beschäftigungsgarantie:</w:t>
      </w:r>
      <w:r>
        <w:t xml:space="preserve"> Nur für Kernbelegschaft (unkündbare Arbeitnehmer), nicht allgemein</w:t>
      </w:r>
    </w:p>
    <w:p>
      <w:pPr>
        <w:pStyle w:val="ListBullet"/>
      </w:pPr>
      <w:r>
        <w:rPr>
          <w:b/>
        </w:rPr>
        <w:t>Sozialplan:</w:t>
      </w:r>
      <w:r>
        <w:t xml:space="preserve"> Abfindungsformel: (Betriebszugehörigkeit x Bruttomonatsgehalt x 0,6), maximale Abfindung 18 Monatsgehälter</w:t>
      </w:r>
    </w:p>
    <w:p>
      <w:pPr>
        <w:pStyle w:val="ListBullet"/>
      </w:pPr>
      <w:r>
        <w:rPr>
          <w:b/>
        </w:rPr>
        <w:t>Betriebsrat-Teilnahme:</w:t>
      </w:r>
      <w:r>
        <w:t xml:space="preserve"> Regelmaessige Information, kein Mitentscheidungsrecht über Investitionen</w:t>
      </w:r>
    </w:p>
    <w:p>
      <w:pPr>
        <w:pStyle w:val="ListBullet"/>
      </w:pPr>
      <w:r>
        <w:rPr>
          <w:b/>
        </w:rPr>
        <w:t>Tarifbindung:</w:t>
      </w:r>
      <w:r>
        <w:t xml:space="preserve"> Abgelehnt; stattdessen Zusicherung, Lohnniveau des TV Metall zu beachten</w:t>
      </w:r>
    </w:p>
    <w:p>
      <w:pPr>
        <w:pStyle w:val="Heading2"/>
      </w:pPr>
      <w:r>
        <w:rPr>
          <w:rFonts w:ascii="Times New Roman" w:hAnsi="Times New Roman"/>
        </w:rPr>
        <w:t>4. Einigungsstellenverfahren</w:t>
      </w:r>
    </w:p>
    <w:p>
      <w:pPr>
        <w:jc w:val="left"/>
      </w:pPr>
      <w:r>
        <w:t>Da keine Einigung in direkten Verhandlungen (Sitzungen: 25. Februar, 10. März, 24. März 2026) erzielt wurde, beantragte der Betriebsrat am 28. März 2026 die Einleitung eines Einigungsstellenverfahrens beim Arbeitsgericht Darmstadt gemäß § 76 BetrVG.</w:t>
      </w:r>
    </w:p>
    <w:p>
      <w:pPr>
        <w:jc w:val="left"/>
      </w:pPr>
      <w:r>
        <w:rPr>
          <w:b/>
        </w:rPr>
        <w:t>Vorsitzender der Einigungsstelle:</w:t>
      </w:r>
      <w:r>
        <w:t xml:space="preserve"> Dr. Alexander Voss-Tyminski (Richter a.D.)</w:t>
      </w:r>
    </w:p>
    <w:p>
      <w:pPr>
        <w:pStyle w:val="Heading2"/>
      </w:pPr>
      <w:r>
        <w:rPr>
          <w:rFonts w:ascii="Times New Roman" w:hAnsi="Times New Roman"/>
        </w:rPr>
        <w:t>5. Ergebnis Sozialplan (Einigungsstellenspruch, 22. April 2026)</w:t>
      </w:r>
    </w:p>
    <w:p>
      <w:pPr>
        <w:jc w:val="left"/>
      </w:pPr>
      <w:r>
        <w:rPr>
          <w:b/>
        </w:rPr>
        <w:t>Standortgarantie:</w:t>
      </w:r>
      <w:r>
        <w:t xml:space="preserve"> 3 Jahre ab Closing (31. Juli 2029), Öffnungsklausel bei Liquiditätsengpass</w:t>
      </w:r>
    </w:p>
    <w:p>
      <w:pPr>
        <w:jc w:val="left"/>
      </w:pPr>
      <w:r>
        <w:rPr>
          <w:b/>
        </w:rPr>
        <w:t>Sozialplan-Abfindungsformel:</w:t>
      </w:r>
      <w:r>
        <w:t xml:space="preserve"> BZJ x BMG x 0,65 (maximal 20 Monatsgehälter)</w:t>
      </w:r>
    </w:p>
    <w:p>
      <w:pPr>
        <w:jc w:val="left"/>
      </w:pPr>
      <w:r>
        <w:rPr>
          <w:b/>
        </w:rPr>
        <w:t>Gesamtvolumen Sozialplan (Hochrechnung):</w:t>
      </w:r>
      <w:r>
        <w:t xml:space="preserve"> Ca. 4,2 Mio. EUR (bei vollständiger Aktivierung für 40 potenziell widerspruchsberechtigte MA)</w:t>
      </w:r>
    </w:p>
    <w:p>
      <w:pPr>
        <w:jc w:val="left"/>
      </w:pPr>
      <w:r>
        <w:rPr>
          <w:b/>
        </w:rPr>
        <w:t>Betriebsratsinformation:</w:t>
      </w:r>
      <w:r>
        <w:t xml:space="preserve"> Vierteljährliche Berichte über wirtschaftliche Lage</w:t>
      </w:r>
    </w:p>
    <w:p>
      <w:pPr>
        <w:pStyle w:val="Heading2"/>
      </w:pPr>
      <w:r>
        <w:rPr>
          <w:rFonts w:ascii="Times New Roman" w:hAnsi="Times New Roman"/>
        </w:rPr>
        <w:t>6. Rechtsgrundlagen</w:t>
      </w:r>
    </w:p>
    <w:p>
      <w:pPr>
        <w:pStyle w:val="ListBullet"/>
      </w:pPr>
      <w:r>
        <w:t>§§ 111–113 BetrVG (Interessenausgleich und Sozialplan)</w:t>
      </w:r>
    </w:p>
    <w:p>
      <w:pPr>
        <w:pStyle w:val="ListBullet"/>
      </w:pPr>
      <w:r>
        <w:t>§ 76 BetrVG (Einigungsstelle)</w:t>
      </w:r>
    </w:p>
    <w:p>
      <w:pPr>
        <w:pStyle w:val="ListBullet"/>
      </w:pPr>
      <w:r>
        <w:t>§ 112 BetrVG (Sozialplan als Betriebsvereinbarung)</w:t>
      </w:r>
    </w:p>
    <w:p/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dejure.org — § 111 BetrVG</w:t>
      </w:r>
    </w:p>
    <w:p>
      <w:pPr>
        <w:pStyle w:val="ListBullet"/>
      </w:pPr>
      <w:r>
        <w:t>dejure.org — § 112 BetrVG</w:t>
      </w:r>
    </w:p>
    <w:p>
      <w:pPr>
        <w:pStyle w:val="ListBullet"/>
      </w:pPr>
      <w:r>
        <w:t>openjur.de — BAG zu Sozialplänen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