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Earn-Out-Komponente und Escrow-Konstruktion</w:t>
      </w:r>
    </w:p>
    <w:p>
      <w:pPr>
        <w:jc w:val="left"/>
      </w:pPr>
      <w:r>
        <w:rPr>
          <w:b/>
        </w:rPr>
        <w:t>Datum:</w:t>
      </w:r>
      <w:r>
        <w:t xml:space="preserve"> Januar–Mai 2026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 Dr. Saskia Altenkamp</w:t>
      </w:r>
    </w:p>
    <w:p>
      <w:pPr>
        <w:jc w:val="left"/>
      </w:pPr>
      <w:r>
        <w:rPr>
          <w:b/>
        </w:rPr>
        <w:t>Escrow Agent:</w:t>
      </w:r>
      <w:r>
        <w:t xml:space="preserve"> DZ Privatbank S.A. Luxembourg</w:t>
      </w:r>
    </w:p>
    <w:p/>
    <w:p>
      <w:pPr>
        <w:pStyle w:val="Heading2"/>
      </w:pPr>
      <w:r>
        <w:rPr>
          <w:rFonts w:ascii="Times New Roman" w:hAnsi="Times New Roman"/>
        </w:rPr>
        <w:t>1. Earn-Out-Struktur</w:t>
      </w:r>
    </w:p>
    <w:p>
      <w:pPr>
        <w:pStyle w:val="Heading3"/>
      </w:pPr>
      <w:r>
        <w:rPr>
          <w:rFonts w:ascii="Times New Roman" w:hAnsi="Times New Roman"/>
        </w:rPr>
        <w:t>1.1 Grundstruktur</w:t>
      </w:r>
    </w:p>
    <w:p>
      <w:pPr>
        <w:jc w:val="left"/>
      </w:pPr>
      <w:r>
        <w:t>Die Parteien haben eine Earn-Out-Komponente in Höhe von 12 Mio. EUR über 3 Jahre vereinbart. Die Earn-Out-Zahlung fliesst an die Verkaeuferfamilie (Familie Schwarzbeck als Endbeguenstigte der FraktoMedis Holding GmbH).</w:t>
      </w:r>
    </w:p>
    <w:p>
      <w:pPr>
        <w:jc w:val="left"/>
      </w:pPr>
      <w:r>
        <w:rPr>
          <w:b/>
        </w:rPr>
        <w:t>Bemessungsgrundlage:</w:t>
      </w:r>
      <w:r>
        <w:t xml:space="preserve"> Bereinigtes EBITDA des Geschäftsbereichs FraktoMedis Präzision nach 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Ziel-EBITDA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Earn-Out (100%-Zielerreichung)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 Earn-Out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 1 (2027)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 2 (2028)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11,0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 Mio.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 3 (2029)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 Mio. EUR</w:t>
            </w:r>
          </w:p>
        </w:tc>
      </w:tr>
    </w:tbl>
    <w:p>
      <w:pPr>
        <w:jc w:val="left"/>
      </w:pPr>
      <w:r>
        <w:t>Earn-Out-Auszahlung: Jährlich im März des Folgejahres nach Vorlage des geprüften Jahresabschlusses.</w:t>
      </w:r>
    </w:p>
    <w:p>
      <w:pPr>
        <w:pStyle w:val="Heading3"/>
      </w:pPr>
      <w:r>
        <w:rPr>
          <w:rFonts w:ascii="Times New Roman" w:hAnsi="Times New Roman"/>
        </w:rPr>
        <w:t>1.2 Bilanzierungsfragen</w:t>
      </w:r>
    </w:p>
    <w:p>
      <w:pPr>
        <w:jc w:val="left"/>
      </w:pPr>
      <w:r>
        <w:rPr>
          <w:b/>
        </w:rPr>
        <w:t>Streitpunkt E-01:</w:t>
      </w:r>
      <w:r>
        <w:t xml:space="preserve"> Bereinigung des EBITDA: Welche Einmaleffekte sind herauszurechnen? FraktoMedis-Familie wollte nur offensichtliche Sondereffekte herausrechnen; VENERA bestand auf engem Bereinigungskatalog (Integration Costs, Restrukturierung).</w:t>
      </w:r>
    </w:p>
    <w:p>
      <w:pPr>
        <w:jc w:val="left"/>
      </w:pPr>
      <w:r>
        <w:rPr>
          <w:b/>
        </w:rPr>
        <w:t>Einigung:</w:t>
      </w:r>
      <w:r>
        <w:t xml:space="preserve"> Bereinigungen laut Katalog Anlage Z-3 zum APA; Schiedsrichterverfahren bei Streit.</w:t>
      </w:r>
    </w:p>
    <w:p>
      <w:pPr>
        <w:jc w:val="left"/>
      </w:pPr>
      <w:r>
        <w:rPr>
          <w:b/>
        </w:rPr>
        <w:t>Streitpunkt E-02:</w:t>
      </w:r>
      <w:r>
        <w:t xml:space="preserve"> VENERA darf nach Closing Earn-Out-relevante EBITDA-Parameter nicht willkürlich verschlechtern (z.B. Eliminierung lukrativer Produktlinien, Verlagerung von Geschäften in Schwestergesellschaften). Earn-Out-Schutzklausel aufgenommen.</w:t>
      </w:r>
    </w:p>
    <w:p>
      <w:pPr>
        <w:pStyle w:val="Heading2"/>
      </w:pPr>
      <w:r>
        <w:rPr>
          <w:rFonts w:ascii="Times New Roman" w:hAnsi="Times New Roman"/>
        </w:rPr>
        <w:t>2. Escrow-Konstruktion bei DZ Privatbank S.A. Luxembourg</w:t>
      </w:r>
    </w:p>
    <w:p>
      <w:pPr>
        <w:jc w:val="left"/>
      </w:pPr>
      <w:r>
        <w:t>Zur Absicherung des Earn-Out gegen Zahlungsausfall von VENERA werden 6 Mio. EUR (50% des Gesamt-Earn-Out) auf ein Escrow-Konto bei der DZ Privatbank S.A. Luxembourg eingezahlt. Die DZ Privatbank handelt als Escrow Agent auf Basis eines Treuhandvertrags gemäß luxemburgischem Recht.</w:t>
      </w:r>
    </w:p>
    <w:p>
      <w:pPr>
        <w:pStyle w:val="Heading3"/>
      </w:pPr>
      <w:r>
        <w:rPr>
          <w:rFonts w:ascii="Times New Roman" w:hAnsi="Times New Roman"/>
        </w:rPr>
        <w:t>2.1 Konditionen Escrow</w:t>
      </w:r>
    </w:p>
    <w:p>
      <w:pPr>
        <w:pStyle w:val="ListBullet"/>
      </w:pPr>
      <w:r>
        <w:t>Einzahlung: Bis spätestens 5 Werktage nach Closing</w:t>
      </w:r>
    </w:p>
    <w:p>
      <w:pPr>
        <w:pStyle w:val="ListBullet"/>
      </w:pPr>
      <w:r>
        <w:t>Verzinsung: 3-Monats-EURIBOR minus 20 Basispunkte</w:t>
      </w:r>
    </w:p>
    <w:p>
      <w:pPr>
        <w:pStyle w:val="ListBullet"/>
      </w:pPr>
      <w:r>
        <w:t>Freigabe: Nach Vorlage des Earn-Out-Berechnungsnachweises und Einigung beider Parteien (oder Schiedsspruch)</w:t>
      </w:r>
    </w:p>
    <w:p>
      <w:pPr>
        <w:pStyle w:val="Heading3"/>
      </w:pPr>
      <w:r>
        <w:rPr>
          <w:rFonts w:ascii="Times New Roman" w:hAnsi="Times New Roman"/>
        </w:rPr>
        <w:t>2.2 Rechtliche Struktur</w:t>
      </w:r>
    </w:p>
    <w:p>
      <w:pPr>
        <w:jc w:val="left"/>
      </w:pPr>
      <w:r>
        <w:t>Der Treuhandvertrag unterliegt luxemburgischem Recht. Schiedsgerichtsbarkeit: ICC Paris (bei Streit über Escrow-Freigabe).</w:t>
      </w:r>
    </w:p>
    <w:p>
      <w:pPr>
        <w:pStyle w:val="Heading2"/>
      </w:pPr>
      <w:r>
        <w:rPr>
          <w:rFonts w:ascii="Times New Roman" w:hAnsi="Times New Roman"/>
        </w:rPr>
        <w:t>3. Steuerliche Behandlung</w:t>
      </w:r>
    </w:p>
    <w:p>
      <w:pPr>
        <w:pStyle w:val="ListBullet"/>
      </w:pPr>
      <w:r>
        <w:t>VENERA: Earn-Out-Verbindlichkeit als bedingte Verbindlichkeit (§ 249 HGB) oder Rückstellung</w:t>
      </w:r>
    </w:p>
    <w:p>
      <w:pPr>
        <w:pStyle w:val="ListBullet"/>
      </w:pPr>
      <w:r>
        <w:t>Verkaeuferfamilie: Earn-Out-Einnahmen als Veraeusserungsgewinn (§ 17 EStG) — spätere Zahlungszuflüsse</w:t>
      </w:r>
    </w:p>
    <w:p>
      <w:pPr>
        <w:jc w:val="left"/>
      </w:pPr>
      <w:r>
        <w:t>Steuerliche Gestaltungsberatung: KPMG Frankfurt.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249 HGB</w:t>
      </w:r>
    </w:p>
    <w:p>
      <w:pPr>
        <w:pStyle w:val="ListBullet"/>
      </w:pPr>
      <w:r>
        <w:t>dejure.org — § 17 EStG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