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Conditions Precedent und Closing-Vorbereitung</w:t>
      </w:r>
    </w:p>
    <w:p>
      <w:pPr>
        <w:jc w:val="left"/>
      </w:pPr>
      <w:r>
        <w:rPr>
          <w:b/>
        </w:rPr>
        <w:t>Datum:</w:t>
      </w:r>
      <w:r>
        <w:t xml:space="preserve"> April–Juli 2026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Mannfeldt, RA Dr. Saskia Altenkamp</w:t>
      </w:r>
    </w:p>
    <w:p>
      <w:pPr>
        <w:jc w:val="left"/>
      </w:pPr>
      <w:r>
        <w:rPr>
          <w:b/>
        </w:rPr>
        <w:t>Notar:</w:t>
      </w:r>
      <w:r>
        <w:t xml:space="preserve"> Dr. Veronika Geilenkirchen (Frankfurt am Main)</w:t>
      </w:r>
    </w:p>
    <w:p/>
    <w:p>
      <w:pPr>
        <w:pStyle w:val="Heading2"/>
      </w:pPr>
      <w:r>
        <w:rPr>
          <w:rFonts w:ascii="Times New Roman" w:hAnsi="Times New Roman"/>
        </w:rPr>
        <w:t>1. Conditions Precedent (CP) — Übersicht</w:t>
      </w:r>
    </w:p>
    <w:p>
      <w:pPr>
        <w:jc w:val="left"/>
      </w:pPr>
      <w:r>
        <w:t>Das APA sieht folgende aufschiebende Bedingungen (Conditions Precedent) vor, die vor dem Closing-Datum (31. Juli 2026) erfüllt sein müssen:</w:t>
      </w:r>
    </w:p>
    <w:p>
      <w:pPr>
        <w:pStyle w:val="Heading3"/>
      </w:pPr>
      <w:r>
        <w:rPr>
          <w:rFonts w:ascii="Times New Roman" w:hAnsi="Times New Roman"/>
        </w:rPr>
        <w:t>CP 1 — Antitrust-Freigaben (Erfullt)</w:t>
      </w:r>
    </w:p>
    <w:p>
      <w:pPr>
        <w:pStyle w:val="ListBullet"/>
      </w:pPr>
      <w:r>
        <w:t>BKartA-Freigabe (B 8-188/26): Erhalten 18. Februar 2026</w:t>
      </w:r>
    </w:p>
    <w:p>
      <w:pPr>
        <w:pStyle w:val="ListBullet"/>
      </w:pPr>
      <w:r>
        <w:t>EU-Kommission (Case M.11244): Erhalten 4. März 2026</w:t>
      </w:r>
    </w:p>
    <w:p>
      <w:pPr>
        <w:jc w:val="left"/>
      </w:pPr>
      <w:r>
        <w:rPr>
          <w:b/>
        </w:rPr>
        <w:t>Status: ERFULLT</w:t>
      </w:r>
    </w:p>
    <w:p>
      <w:pPr>
        <w:pStyle w:val="Heading3"/>
      </w:pPr>
      <w:r>
        <w:rPr>
          <w:rFonts w:ascii="Times New Roman" w:hAnsi="Times New Roman"/>
        </w:rPr>
        <w:t>CP 2 — Klamroth-Bericht (Erfullt)</w:t>
      </w:r>
    </w:p>
    <w:p>
      <w:pPr>
        <w:pStyle w:val="ListBullet"/>
      </w:pPr>
      <w:r>
        <w:t>Vorlage des internen Untersuchungsberichts zur Lateinamerika-Korruption</w:t>
      </w:r>
    </w:p>
    <w:p>
      <w:pPr>
        <w:pStyle w:val="ListBullet"/>
      </w:pPr>
      <w:r>
        <w:t>Bericht vorgelegt am 12. März 2026</w:t>
      </w:r>
    </w:p>
    <w:p>
      <w:pPr>
        <w:pStyle w:val="ListBullet"/>
      </w:pPr>
      <w:r>
        <w:t>Ergebnis: Keine systemischen Verstöße identifiziert; individuelle Verfehlung eines ehemaligen Vertriebsleiters, der zwischenzeitlich ausgeschieden ist</w:t>
      </w:r>
    </w:p>
    <w:p>
      <w:pPr>
        <w:jc w:val="left"/>
      </w:pPr>
      <w:r>
        <w:rPr>
          <w:b/>
        </w:rPr>
        <w:t>Status: ERFULLT</w:t>
      </w:r>
    </w:p>
    <w:p>
      <w:pPr>
        <w:pStyle w:val="Heading3"/>
      </w:pPr>
      <w:r>
        <w:rPr>
          <w:rFonts w:ascii="Times New Roman" w:hAnsi="Times New Roman"/>
        </w:rPr>
        <w:t>CP 3 — Grundschuld-Ablöse (In Bearbeitung)</w:t>
      </w:r>
    </w:p>
    <w:p>
      <w:pPr>
        <w:pStyle w:val="ListBullet"/>
      </w:pPr>
      <w:r>
        <w:t>Grundschuld zugunsten Commerzbank AG (8 Mio. EUR) auf Fertigungshalle Darmstadt-Nord</w:t>
      </w:r>
    </w:p>
    <w:p>
      <w:pPr>
        <w:pStyle w:val="ListBullet"/>
      </w:pPr>
      <w:r>
        <w:t>Ablösebetrag: 7,8 Mio. EUR (Stand: 30. April 2026)</w:t>
      </w:r>
    </w:p>
    <w:p>
      <w:pPr>
        <w:pStyle w:val="ListBullet"/>
      </w:pPr>
      <w:r>
        <w:t>Finanzierung durch FraktoMedis SE; Bestätigung der Bank ausstehend</w:t>
      </w:r>
    </w:p>
    <w:p>
      <w:pPr>
        <w:jc w:val="left"/>
      </w:pPr>
      <w:r>
        <w:rPr>
          <w:b/>
        </w:rPr>
        <w:t>Status: IN BEARBEITUNG (erwartet: 15. Juli 2026)</w:t>
      </w:r>
    </w:p>
    <w:p>
      <w:pPr>
        <w:pStyle w:val="Heading3"/>
      </w:pPr>
      <w:r>
        <w:rPr>
          <w:rFonts w:ascii="Times New Roman" w:hAnsi="Times New Roman"/>
        </w:rPr>
        <w:t>CP 4 — Sozialplan-Abschluss (Erfullt)</w:t>
      </w:r>
    </w:p>
    <w:p>
      <w:pPr>
        <w:pStyle w:val="ListBullet"/>
      </w:pPr>
      <w:r>
        <w:t>Einigungsstellenspruch vom 22. April 2026</w:t>
      </w:r>
    </w:p>
    <w:p>
      <w:pPr>
        <w:pStyle w:val="ListBullet"/>
      </w:pPr>
      <w:r>
        <w:t>Betriebsrat-Akzeptanz der Einigungsstellenentscheidung am 30. April 2026</w:t>
      </w:r>
    </w:p>
    <w:p>
      <w:pPr>
        <w:jc w:val="left"/>
      </w:pPr>
      <w:r>
        <w:rPr>
          <w:b/>
        </w:rPr>
        <w:t>Status: ERFULLT</w:t>
      </w:r>
    </w:p>
    <w:p>
      <w:pPr>
        <w:pStyle w:val="Heading3"/>
      </w:pPr>
      <w:r>
        <w:rPr>
          <w:rFonts w:ascii="Times New Roman" w:hAnsi="Times New Roman"/>
        </w:rPr>
        <w:t>CP 5 — Vermieter-Zustimmung Verwaltungsgebäude (Ausstehend)</w:t>
      </w:r>
    </w:p>
    <w:p>
      <w:pPr>
        <w:pStyle w:val="ListBullet"/>
      </w:pPr>
      <w:r>
        <w:t>Zustimmung des Vermieters zur Vertragsübernahme (§§ 566, 578 BGB analog)</w:t>
      </w:r>
    </w:p>
    <w:p>
      <w:pPr>
        <w:pStyle w:val="ListBullet"/>
      </w:pPr>
      <w:r>
        <w:t>Vermieter: Hessische Immobilienverwaltung GmbH, Darmstadt</w:t>
      </w:r>
    </w:p>
    <w:p>
      <w:pPr>
        <w:pStyle w:val="ListBullet"/>
      </w:pPr>
      <w:r>
        <w:t>Gespräche laufen; keine Zustimmungsverweigerung erwartet</w:t>
      </w:r>
    </w:p>
    <w:p>
      <w:pPr>
        <w:jc w:val="left"/>
      </w:pPr>
      <w:r>
        <w:rPr>
          <w:b/>
        </w:rPr>
        <w:t>Status: AUSSTEHEND (erwartet: 20. Juli 2026)</w:t>
      </w:r>
    </w:p>
    <w:p>
      <w:pPr>
        <w:pStyle w:val="Heading3"/>
      </w:pPr>
      <w:r>
        <w:rPr>
          <w:rFonts w:ascii="Times New Roman" w:hAnsi="Times New Roman"/>
        </w:rPr>
        <w:t>CP 6 — DSGVO-Re-Audit (Erfullt)</w:t>
      </w:r>
    </w:p>
    <w:p>
      <w:pPr>
        <w:pStyle w:val="ListBullet"/>
      </w:pPr>
      <w:r>
        <w:t>Abschliessendes Re-Audit vorgelegt am 5. Mai 2026; keine wesentlichen Defizite mehr</w:t>
      </w:r>
    </w:p>
    <w:p>
      <w:pPr>
        <w:jc w:val="left"/>
      </w:pPr>
      <w:r>
        <w:rPr>
          <w:b/>
        </w:rPr>
        <w:t>Status: ERFULLT</w:t>
      </w:r>
    </w:p>
    <w:p>
      <w:pPr>
        <w:pStyle w:val="Heading3"/>
      </w:pPr>
      <w:r>
        <w:rPr>
          <w:rFonts w:ascii="Times New Roman" w:hAnsi="Times New Roman"/>
        </w:rPr>
        <w:t>CP 7 — W&amp;I-Versicherung Policenausstellung (Erfullt)</w:t>
      </w:r>
    </w:p>
    <w:p>
      <w:pPr>
        <w:pStyle w:val="ListBullet"/>
      </w:pPr>
      <w:r>
        <w:t>AIG-Police ausgestellt am 20. Mai 2026</w:t>
      </w:r>
    </w:p>
    <w:p>
      <w:pPr>
        <w:jc w:val="left"/>
      </w:pPr>
      <w:r>
        <w:rPr>
          <w:b/>
        </w:rPr>
        <w:t>Status: ERFULLT</w:t>
      </w:r>
    </w:p>
    <w:p>
      <w:pPr>
        <w:pStyle w:val="Heading2"/>
      </w:pPr>
      <w:r>
        <w:rPr>
          <w:rFonts w:ascii="Times New Roman" w:hAnsi="Times New Roman"/>
        </w:rPr>
        <w:t>2. Closing-Vorbereitung</w:t>
      </w:r>
    </w:p>
    <w:p>
      <w:pPr>
        <w:pStyle w:val="Heading3"/>
      </w:pPr>
      <w:r>
        <w:rPr>
          <w:rFonts w:ascii="Times New Roman" w:hAnsi="Times New Roman"/>
        </w:rPr>
        <w:t>2.1 Closing-Datum</w:t>
      </w:r>
    </w:p>
    <w:p>
      <w:pPr>
        <w:jc w:val="left"/>
      </w:pPr>
      <w:r>
        <w:t>Geplantes Closing: 31. Juli 2026, 10:00 Uhr, Kanzlei Drosselberg, Mannfeldt &amp; Partner, Frankfurt.</w:t>
      </w:r>
    </w:p>
    <w:p>
      <w:pPr>
        <w:pStyle w:val="Heading3"/>
      </w:pPr>
      <w:r>
        <w:rPr>
          <w:rFonts w:ascii="Times New Roman" w:hAnsi="Times New Roman"/>
        </w:rPr>
        <w:t>2.2 Notar</w:t>
      </w:r>
    </w:p>
    <w:p>
      <w:pPr>
        <w:jc w:val="left"/>
      </w:pPr>
      <w:r>
        <w:t>Notar: Dr. Veronika Geilenkirchen, Bockenheimer Anlage 15, 60322 Frankfurt am Main. Beurkundung des APA gemäß § 128 BGB (soweit Grundstücksübergang) sowie Eintragungsantrag HRB Darmstadt für relevante gesellschaftsrechtliche Änderungen.</w:t>
      </w:r>
    </w:p>
    <w:p>
      <w:pPr>
        <w:pStyle w:val="Heading3"/>
      </w:pPr>
      <w:r>
        <w:rPr>
          <w:rFonts w:ascii="Times New Roman" w:hAnsi="Times New Roman"/>
        </w:rPr>
        <w:t>2.3 Closing-Memorandum</w:t>
      </w:r>
    </w:p>
    <w:p>
      <w:pPr>
        <w:jc w:val="left"/>
      </w:pPr>
      <w:r>
        <w:t>Das Closing-Memorandum (Aktenstück 21) listet alle zu unterzeichnenden Dokumente und Zahlungsflüsse. VENERA-Zahlung: 50 Mio. EUR (Enterprise Value 58 Mio. EUR minus vereinbarte Kaufpreisreduktionen: 5 Mio. EUR Patentnichtigkeitsrisiko, 3 Mio. EUR Umwelt/Grundschuld).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128 BGB</w:t>
      </w:r>
    </w:p>
    <w:p>
      <w:pPr>
        <w:pStyle w:val="ListBullet"/>
      </w:pPr>
      <w:r>
        <w:t>dejure.org — § 566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