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21 — Closing-Memorandum und Vollzug</w:t>
      </w:r>
    </w:p>
    <w:p>
      <w:pPr>
        <w:jc w:val="left"/>
      </w:pPr>
      <w:r>
        <w:rPr>
          <w:b/>
        </w:rPr>
        <w:t>Datum:</w:t>
      </w:r>
      <w:r>
        <w:t xml:space="preserve"> 31. Juli 2026</w:t>
      </w:r>
    </w:p>
    <w:p>
      <w:pPr>
        <w:jc w:val="left"/>
      </w:pPr>
      <w:r>
        <w:rPr>
          <w:b/>
        </w:rPr>
        <w:t>Bearbeiter:</w:t>
      </w:r>
      <w:r>
        <w:t xml:space="preserve"> RA Prof. Dr. Felix Mannfeldt, RA Dr. Saskia Altenkamp</w:t>
      </w:r>
    </w:p>
    <w:p>
      <w:pPr>
        <w:jc w:val="left"/>
      </w:pPr>
      <w:r>
        <w:rPr>
          <w:b/>
        </w:rPr>
        <w:t>Notar:</w:t>
      </w:r>
      <w:r>
        <w:t xml:space="preserve"> Dr. Veronika Geilenkirchen (Frankfurt am Main)</w:t>
      </w:r>
    </w:p>
    <w:p/>
    <w:p>
      <w:pPr>
        <w:pStyle w:val="Heading2"/>
      </w:pPr>
      <w:r>
        <w:rPr>
          <w:rFonts w:ascii="Times New Roman" w:hAnsi="Times New Roman"/>
        </w:rPr>
        <w:t>1. Closing-Datum und Ort</w:t>
      </w:r>
    </w:p>
    <w:p>
      <w:pPr>
        <w:jc w:val="left"/>
      </w:pPr>
      <w:r>
        <w:t>Closing: 31. Juli 2026, 10:00 Uhr MEZ</w:t>
      </w:r>
    </w:p>
    <w:p>
      <w:pPr>
        <w:jc w:val="left"/>
      </w:pPr>
      <w:r>
        <w:t>Ort: Kanzlei Drosselberg, Mannfeldt &amp; Partner, Bockenheimer Landstrasse 24, 60323 Frankfurt am Main</w:t>
      </w:r>
    </w:p>
    <w:p>
      <w:pPr>
        <w:jc w:val="left"/>
      </w:pPr>
      <w:r>
        <w:t>Anwesend:</w:t>
      </w:r>
    </w:p>
    <w:p>
      <w:pPr>
        <w:pStyle w:val="ListBullet"/>
      </w:pPr>
      <w:r>
        <w:t>Theodora Volkenrath-Eichelmann (VENERA, GF)</w:t>
      </w:r>
    </w:p>
    <w:p>
      <w:pPr>
        <w:pStyle w:val="ListBullet"/>
      </w:pPr>
      <w:r>
        <w:t>RA Prof. Dr. Felix Mannfeldt (VENERA-Vertreter)</w:t>
      </w:r>
    </w:p>
    <w:p>
      <w:pPr>
        <w:pStyle w:val="ListBullet"/>
      </w:pPr>
      <w:r>
        <w:t>Dr. Hannes Schwarzbeck (FraktoMedis SE, CFO)</w:t>
      </w:r>
    </w:p>
    <w:p>
      <w:pPr>
        <w:pStyle w:val="ListBullet"/>
      </w:pPr>
      <w:r>
        <w:t>RA Dr. Karin Hecker (FraktoMedis SE-Vertreter, Hecker, Bohn &amp; Noll)</w:t>
      </w:r>
    </w:p>
    <w:p>
      <w:pPr>
        <w:pStyle w:val="ListBullet"/>
      </w:pPr>
      <w:r>
        <w:t>Notar Dr. Veronika Geilenkirchen</w:t>
      </w:r>
    </w:p>
    <w:p>
      <w:pPr>
        <w:pStyle w:val="ListBullet"/>
      </w:pPr>
      <w:r>
        <w:t>KPMG-Vertreter (für Finanzprüfung)</w:t>
      </w:r>
    </w:p>
    <w:p/>
    <w:p>
      <w:pPr>
        <w:pStyle w:val="Heading2"/>
      </w:pPr>
      <w:r>
        <w:rPr>
          <w:rFonts w:ascii="Times New Roman" w:hAnsi="Times New Roman"/>
        </w:rPr>
        <w:t>2. Dokumentenablauf (Closing Rundown)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w:t>
            </w:r>
          </w:p>
        </w:tc>
        <w:tc>
          <w:tcPr>
            <w:tcW w:type="dxa" w:w="3024"/>
          </w:tcPr>
          <w:p>
            <w:r>
              <w:rPr>
                <w:rFonts w:ascii="Times New Roman" w:hAnsi="Times New Roman"/>
                <w:b/>
                <w:sz w:val="20"/>
              </w:rPr>
              <w:t>Dokument</w:t>
            </w:r>
          </w:p>
        </w:tc>
        <w:tc>
          <w:tcPr>
            <w:tcW w:type="dxa" w:w="3024"/>
          </w:tcPr>
          <w:p>
            <w:r>
              <w:rPr>
                <w:rFonts w:ascii="Times New Roman" w:hAnsi="Times New Roman"/>
                <w:b/>
                <w:sz w:val="20"/>
              </w:rPr>
              <w:t>Unterzeichner</w:t>
            </w:r>
          </w:p>
        </w:tc>
      </w:tr>
      <w:tr>
        <w:tc>
          <w:tcPr>
            <w:tcW w:type="dxa" w:w="3024"/>
          </w:tcPr>
          <w:p>
            <w:r>
              <w:rPr>
                <w:rFonts w:ascii="Times New Roman" w:hAnsi="Times New Roman"/>
                <w:sz w:val="20"/>
              </w:rPr>
              <w:t>10:00</w:t>
            </w:r>
          </w:p>
        </w:tc>
        <w:tc>
          <w:tcPr>
            <w:tcW w:type="dxa" w:w="3024"/>
          </w:tcPr>
          <w:p>
            <w:r>
              <w:rPr>
                <w:rFonts w:ascii="Times New Roman" w:hAnsi="Times New Roman"/>
                <w:sz w:val="20"/>
              </w:rPr>
              <w:t>APA (Asset Purchase Agreement) — Notarielle Beurkundung</w:t>
            </w:r>
          </w:p>
        </w:tc>
        <w:tc>
          <w:tcPr>
            <w:tcW w:type="dxa" w:w="3024"/>
          </w:tcPr>
          <w:p>
            <w:r>
              <w:rPr>
                <w:rFonts w:ascii="Times New Roman" w:hAnsi="Times New Roman"/>
                <w:sz w:val="20"/>
              </w:rPr>
              <w:t>VENERA, FraktoMedis SE, Notar</w:t>
            </w:r>
          </w:p>
        </w:tc>
      </w:tr>
      <w:tr>
        <w:tc>
          <w:tcPr>
            <w:tcW w:type="dxa" w:w="3024"/>
          </w:tcPr>
          <w:p>
            <w:r>
              <w:rPr>
                <w:rFonts w:ascii="Times New Roman" w:hAnsi="Times New Roman"/>
                <w:sz w:val="20"/>
              </w:rPr>
              <w:t>10:45</w:t>
            </w:r>
          </w:p>
        </w:tc>
        <w:tc>
          <w:tcPr>
            <w:tcW w:type="dxa" w:w="3024"/>
          </w:tcPr>
          <w:p>
            <w:r>
              <w:rPr>
                <w:rFonts w:ascii="Times New Roman" w:hAnsi="Times New Roman"/>
                <w:sz w:val="20"/>
              </w:rPr>
              <w:t>Treuhandanweisung an DZ Privatbank Luxembourg</w:t>
            </w:r>
          </w:p>
        </w:tc>
        <w:tc>
          <w:tcPr>
            <w:tcW w:type="dxa" w:w="3024"/>
          </w:tcPr>
          <w:p>
            <w:r>
              <w:rPr>
                <w:rFonts w:ascii="Times New Roman" w:hAnsi="Times New Roman"/>
                <w:sz w:val="20"/>
              </w:rPr>
              <w:t>VENERA, FraktoMedis SE</w:t>
            </w:r>
          </w:p>
        </w:tc>
      </w:tr>
      <w:tr>
        <w:tc>
          <w:tcPr>
            <w:tcW w:type="dxa" w:w="3024"/>
          </w:tcPr>
          <w:p>
            <w:r>
              <w:rPr>
                <w:rFonts w:ascii="Times New Roman" w:hAnsi="Times New Roman"/>
                <w:sz w:val="20"/>
              </w:rPr>
              <w:t>11:00</w:t>
            </w:r>
          </w:p>
        </w:tc>
        <w:tc>
          <w:tcPr>
            <w:tcW w:type="dxa" w:w="3024"/>
          </w:tcPr>
          <w:p>
            <w:r>
              <w:rPr>
                <w:rFonts w:ascii="Times New Roman" w:hAnsi="Times New Roman"/>
                <w:sz w:val="20"/>
              </w:rPr>
              <w:t>Escrow Agreement (Earn-Out-Treuhand)</w:t>
            </w:r>
          </w:p>
        </w:tc>
        <w:tc>
          <w:tcPr>
            <w:tcW w:type="dxa" w:w="3024"/>
          </w:tcPr>
          <w:p>
            <w:r>
              <w:rPr>
                <w:rFonts w:ascii="Times New Roman" w:hAnsi="Times New Roman"/>
                <w:sz w:val="20"/>
              </w:rPr>
              <w:t>VENERA, FraktoMedis SE, DZ Privatbank</w:t>
            </w:r>
          </w:p>
        </w:tc>
      </w:tr>
      <w:tr>
        <w:tc>
          <w:tcPr>
            <w:tcW w:type="dxa" w:w="3024"/>
          </w:tcPr>
          <w:p>
            <w:r>
              <w:rPr>
                <w:rFonts w:ascii="Times New Roman" w:hAnsi="Times New Roman"/>
                <w:sz w:val="20"/>
              </w:rPr>
              <w:t>11:15</w:t>
            </w:r>
          </w:p>
        </w:tc>
        <w:tc>
          <w:tcPr>
            <w:tcW w:type="dxa" w:w="3024"/>
          </w:tcPr>
          <w:p>
            <w:r>
              <w:rPr>
                <w:rFonts w:ascii="Times New Roman" w:hAnsi="Times New Roman"/>
                <w:sz w:val="20"/>
              </w:rPr>
              <w:t>Transition Services Agreement</w:t>
            </w:r>
          </w:p>
        </w:tc>
        <w:tc>
          <w:tcPr>
            <w:tcW w:type="dxa" w:w="3024"/>
          </w:tcPr>
          <w:p>
            <w:r>
              <w:rPr>
                <w:rFonts w:ascii="Times New Roman" w:hAnsi="Times New Roman"/>
                <w:sz w:val="20"/>
              </w:rPr>
              <w:t>VENERA, FraktoMedis SE</w:t>
            </w:r>
          </w:p>
        </w:tc>
      </w:tr>
      <w:tr>
        <w:tc>
          <w:tcPr>
            <w:tcW w:type="dxa" w:w="3024"/>
          </w:tcPr>
          <w:p>
            <w:r>
              <w:rPr>
                <w:rFonts w:ascii="Times New Roman" w:hAnsi="Times New Roman"/>
                <w:sz w:val="20"/>
              </w:rPr>
              <w:t>11:30</w:t>
            </w:r>
          </w:p>
        </w:tc>
        <w:tc>
          <w:tcPr>
            <w:tcW w:type="dxa" w:w="3024"/>
          </w:tcPr>
          <w:p>
            <w:r>
              <w:rPr>
                <w:rFonts w:ascii="Times New Roman" w:hAnsi="Times New Roman"/>
                <w:sz w:val="20"/>
              </w:rPr>
              <w:t>IP-Übertragungsvertrag (Patente, Marken)</w:t>
            </w:r>
          </w:p>
        </w:tc>
        <w:tc>
          <w:tcPr>
            <w:tcW w:type="dxa" w:w="3024"/>
          </w:tcPr>
          <w:p>
            <w:r>
              <w:rPr>
                <w:rFonts w:ascii="Times New Roman" w:hAnsi="Times New Roman"/>
                <w:sz w:val="20"/>
              </w:rPr>
              <w:t>VENERA, FraktoMedis SE</w:t>
            </w:r>
          </w:p>
        </w:tc>
      </w:tr>
      <w:tr>
        <w:tc>
          <w:tcPr>
            <w:tcW w:type="dxa" w:w="3024"/>
          </w:tcPr>
          <w:p>
            <w:r>
              <w:rPr>
                <w:rFonts w:ascii="Times New Roman" w:hAnsi="Times New Roman"/>
                <w:sz w:val="20"/>
              </w:rPr>
              <w:t>11:45</w:t>
            </w:r>
          </w:p>
        </w:tc>
        <w:tc>
          <w:tcPr>
            <w:tcW w:type="dxa" w:w="3024"/>
          </w:tcPr>
          <w:p>
            <w:r>
              <w:rPr>
                <w:rFonts w:ascii="Times New Roman" w:hAnsi="Times New Roman"/>
                <w:sz w:val="20"/>
              </w:rPr>
              <w:t>Kaufpreiszahlung (SWIFT-Bestätigung 50 Mio. EUR)</w:t>
            </w:r>
          </w:p>
        </w:tc>
        <w:tc>
          <w:tcPr>
            <w:tcW w:type="dxa" w:w="3024"/>
          </w:tcPr>
          <w:p>
            <w:r>
              <w:rPr>
                <w:rFonts w:ascii="Times New Roman" w:hAnsi="Times New Roman"/>
                <w:sz w:val="20"/>
              </w:rPr>
              <w:t>VENERA (Commerzbank Frankfurt)</w:t>
            </w:r>
          </w:p>
        </w:tc>
      </w:tr>
      <w:tr>
        <w:tc>
          <w:tcPr>
            <w:tcW w:type="dxa" w:w="3024"/>
          </w:tcPr>
          <w:p>
            <w:r>
              <w:rPr>
                <w:rFonts w:ascii="Times New Roman" w:hAnsi="Times New Roman"/>
                <w:sz w:val="20"/>
              </w:rPr>
              <w:t>12:00</w:t>
            </w:r>
          </w:p>
        </w:tc>
        <w:tc>
          <w:tcPr>
            <w:tcW w:type="dxa" w:w="3024"/>
          </w:tcPr>
          <w:p>
            <w:r>
              <w:rPr>
                <w:rFonts w:ascii="Times New Roman" w:hAnsi="Times New Roman"/>
                <w:sz w:val="20"/>
              </w:rPr>
              <w:t>Escrow-Einzahlung (6 Mio. EUR DZ Privatbank)</w:t>
            </w:r>
          </w:p>
        </w:tc>
        <w:tc>
          <w:tcPr>
            <w:tcW w:type="dxa" w:w="3024"/>
          </w:tcPr>
          <w:p>
            <w:r>
              <w:rPr>
                <w:rFonts w:ascii="Times New Roman" w:hAnsi="Times New Roman"/>
                <w:sz w:val="20"/>
              </w:rPr>
              <w:t>VENERA</w:t>
            </w:r>
          </w:p>
        </w:tc>
      </w:tr>
      <w:tr>
        <w:tc>
          <w:tcPr>
            <w:tcW w:type="dxa" w:w="3024"/>
          </w:tcPr>
          <w:p>
            <w:r>
              <w:rPr>
                <w:rFonts w:ascii="Times New Roman" w:hAnsi="Times New Roman"/>
                <w:sz w:val="20"/>
              </w:rPr>
              <w:t>12:15</w:t>
            </w:r>
          </w:p>
        </w:tc>
        <w:tc>
          <w:tcPr>
            <w:tcW w:type="dxa" w:w="3024"/>
          </w:tcPr>
          <w:p>
            <w:r>
              <w:rPr>
                <w:rFonts w:ascii="Times New Roman" w:hAnsi="Times New Roman"/>
                <w:sz w:val="20"/>
              </w:rPr>
              <w:t>Ubergabe-Protokoll (Besitz- und Gefahruebergang)</w:t>
            </w:r>
          </w:p>
        </w:tc>
        <w:tc>
          <w:tcPr>
            <w:tcW w:type="dxa" w:w="3024"/>
          </w:tcPr>
          <w:p>
            <w:r>
              <w:rPr>
                <w:rFonts w:ascii="Times New Roman" w:hAnsi="Times New Roman"/>
                <w:sz w:val="20"/>
              </w:rPr>
              <w:t>VENERA, FraktoMedis SE</w:t>
            </w:r>
          </w:p>
        </w:tc>
      </w:tr>
    </w:tbl>
    <w:p/>
    <w:p>
      <w:pPr>
        <w:pStyle w:val="Heading2"/>
      </w:pPr>
      <w:r>
        <w:rPr>
          <w:rFonts w:ascii="Times New Roman" w:hAnsi="Times New Roman"/>
        </w:rPr>
        <w:t>3. Kaufpreisflüsse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Enterprise Value (vereinbart)</w:t>
            </w:r>
          </w:p>
        </w:tc>
        <w:tc>
          <w:tcPr>
            <w:tcW w:type="dxa" w:w="4536"/>
          </w:tcPr>
          <w:p>
            <w:r>
              <w:rPr>
                <w:rFonts w:ascii="Times New Roman" w:hAnsi="Times New Roman"/>
                <w:sz w:val="20"/>
              </w:rPr>
              <w:t>58.000.000</w:t>
            </w:r>
          </w:p>
        </w:tc>
      </w:tr>
      <w:tr>
        <w:tc>
          <w:tcPr>
            <w:tcW w:type="dxa" w:w="4536"/>
          </w:tcPr>
          <w:p>
            <w:r>
              <w:rPr>
                <w:rFonts w:ascii="Times New Roman" w:hAnsi="Times New Roman"/>
                <w:sz w:val="20"/>
              </w:rPr>
              <w:t>Abzug Patentnichtigkeitsrisiko</w:t>
            </w:r>
          </w:p>
        </w:tc>
        <w:tc>
          <w:tcPr>
            <w:tcW w:type="dxa" w:w="4536"/>
          </w:tcPr>
          <w:p>
            <w:r>
              <w:rPr>
                <w:rFonts w:ascii="Times New Roman" w:hAnsi="Times New Roman"/>
                <w:sz w:val="20"/>
              </w:rPr>
              <w:t>-5.000.000</w:t>
            </w:r>
          </w:p>
        </w:tc>
      </w:tr>
      <w:tr>
        <w:tc>
          <w:tcPr>
            <w:tcW w:type="dxa" w:w="4536"/>
          </w:tcPr>
          <w:p>
            <w:r>
              <w:rPr>
                <w:rFonts w:ascii="Times New Roman" w:hAnsi="Times New Roman"/>
                <w:sz w:val="20"/>
              </w:rPr>
              <w:t>Abzug Umwelt/Grundschuld</w:t>
            </w:r>
          </w:p>
        </w:tc>
        <w:tc>
          <w:tcPr>
            <w:tcW w:type="dxa" w:w="4536"/>
          </w:tcPr>
          <w:p>
            <w:r>
              <w:rPr>
                <w:rFonts w:ascii="Times New Roman" w:hAnsi="Times New Roman"/>
                <w:sz w:val="20"/>
              </w:rPr>
              <w:t>-3.000.000</w:t>
            </w:r>
          </w:p>
        </w:tc>
      </w:tr>
      <w:tr>
        <w:tc>
          <w:tcPr>
            <w:tcW w:type="dxa" w:w="4536"/>
          </w:tcPr>
          <w:p>
            <w:r>
              <w:rPr>
                <w:rFonts w:ascii="Times New Roman" w:hAnsi="Times New Roman"/>
                <w:sz w:val="20"/>
              </w:rPr>
              <w:t>Closing-Kaufpreis (netto)</w:t>
            </w:r>
          </w:p>
        </w:tc>
        <w:tc>
          <w:tcPr>
            <w:tcW w:type="dxa" w:w="4536"/>
          </w:tcPr>
          <w:p>
            <w:r>
              <w:rPr>
                <w:rFonts w:ascii="Times New Roman" w:hAnsi="Times New Roman"/>
                <w:sz w:val="20"/>
              </w:rPr>
              <w:t>50.000.000</w:t>
            </w:r>
          </w:p>
        </w:tc>
      </w:tr>
      <w:tr>
        <w:tc>
          <w:tcPr>
            <w:tcW w:type="dxa" w:w="4536"/>
          </w:tcPr>
          <w:p>
            <w:r>
              <w:rPr>
                <w:rFonts w:ascii="Times New Roman" w:hAnsi="Times New Roman"/>
                <w:sz w:val="20"/>
              </w:rPr>
              <w:t>Earn-Out (bedingt, 3 Jahre)</w:t>
            </w:r>
          </w:p>
        </w:tc>
        <w:tc>
          <w:tcPr>
            <w:tcW w:type="dxa" w:w="4536"/>
          </w:tcPr>
          <w:p>
            <w:r>
              <w:rPr>
                <w:rFonts w:ascii="Times New Roman" w:hAnsi="Times New Roman"/>
                <w:sz w:val="20"/>
              </w:rPr>
              <w:t>max. 12.000.000</w:t>
            </w:r>
          </w:p>
        </w:tc>
      </w:tr>
      <w:tr>
        <w:tc>
          <w:tcPr>
            <w:tcW w:type="dxa" w:w="4536"/>
          </w:tcPr>
          <w:p>
            <w:r>
              <w:rPr>
                <w:rFonts w:ascii="Times New Roman" w:hAnsi="Times New Roman"/>
                <w:sz w:val="20"/>
              </w:rPr>
              <w:t>Escrow-Einzahlung (50% Earn-Out)</w:t>
            </w:r>
          </w:p>
        </w:tc>
        <w:tc>
          <w:tcPr>
            <w:tcW w:type="dxa" w:w="4536"/>
          </w:tcPr>
          <w:p>
            <w:r>
              <w:rPr>
                <w:rFonts w:ascii="Times New Roman" w:hAnsi="Times New Roman"/>
                <w:sz w:val="20"/>
              </w:rPr>
              <w:t>6.000.000</w:t>
            </w:r>
          </w:p>
        </w:tc>
      </w:tr>
    </w:tbl>
    <w:p/>
    <w:p>
      <w:pPr>
        <w:pStyle w:val="Heading2"/>
      </w:pPr>
      <w:r>
        <w:rPr>
          <w:rFonts w:ascii="Times New Roman" w:hAnsi="Times New Roman"/>
        </w:rPr>
        <w:t>4. Handelsregister-Eintragung</w:t>
      </w:r>
    </w:p>
    <w:p>
      <w:pPr>
        <w:jc w:val="left"/>
      </w:pPr>
      <w:r>
        <w:t>Notar Dr. Geilenkirchen hat am 31. Juli 2026 unmittelbar nach Closing den Antrag auf Eintragung der VENERA Investment Group GmbH als neue Inhaberin des Handelsgeschäfts (§ 25 HGB) beim Amtsgericht Darmstadt (HRB 4188, Antrag) gestellt.</w:t>
      </w:r>
    </w:p>
    <w:p>
      <w:pPr>
        <w:pStyle w:val="Heading2"/>
      </w:pPr>
      <w:r>
        <w:rPr>
          <w:rFonts w:ascii="Times New Roman" w:hAnsi="Times New Roman"/>
        </w:rPr>
        <w:t>5. Post-Closing-Massnahmen</w:t>
      </w:r>
    </w:p>
    <w:p>
      <w:pPr>
        <w:jc w:val="left"/>
      </w:pPr>
      <w:r>
        <w:t>Sofort nach Closing:</w:t>
      </w:r>
    </w:p>
    <w:p>
      <w:pPr>
        <w:pStyle w:val="ListBullet"/>
      </w:pPr>
      <w:r>
        <w:t>Übergabe aller Schlussel, IT-Zugänge und Zertifikate</w:t>
      </w:r>
    </w:p>
    <w:p>
      <w:pPr>
        <w:pStyle w:val="ListBullet"/>
      </w:pPr>
      <w:r>
        <w:t>Bestellung von VENERA-Verantwortlichen für Werk Darmstadt-Nord</w:t>
      </w:r>
    </w:p>
    <w:p>
      <w:pPr>
        <w:pStyle w:val="ListBullet"/>
      </w:pPr>
      <w:r>
        <w:t>Beginn Transition Services (SAP-Anbindung, IT-Separation)</w:t>
      </w:r>
    </w:p>
    <w:p/>
    <w:p>
      <w:pPr>
        <w:jc w:val="left"/>
      </w:pPr>
      <w:r>
        <w:rPr>
          <w:b/>
        </w:rPr>
        <w:t>Quellen:</w:t>
      </w:r>
    </w:p>
    <w:p>
      <w:pPr>
        <w:pStyle w:val="ListBullet"/>
      </w:pPr>
      <w:r>
        <w:t>dejure.org — § 25 HGB</w:t>
      </w:r>
    </w:p>
    <w:p>
      <w:pPr>
        <w:pStyle w:val="ListBullet"/>
      </w:pPr>
      <w:r>
        <w:t>dejure.org — § 128 BGB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