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Anfrage-08: Arzthaftung — Helmut Trambach</w:t>
      </w:r>
    </w:p>
    <w:p>
      <w:pPr>
        <w:jc w:val="left"/>
      </w:pPr>
      <w:r>
        <w:t>Aktenzeichen: RT-2026-Q2-0319</w:t>
      </w:r>
    </w:p>
    <w:p>
      <w:pPr>
        <w:jc w:val="left"/>
      </w:pPr>
      <w:r>
        <w:t>Eingang: 18.06.2026 (Webformular, 08:31 Uhr)</w:t>
      </w:r>
    </w:p>
    <w:p>
      <w:pPr>
        <w:jc w:val="left"/>
      </w:pPr>
      <w:r>
        <w:t>Sachbearbeiter: Dr. Henrietta Vellbruck (Erstzuordnung)</w:t>
      </w:r>
    </w:p>
    <w:p>
      <w:pPr>
        <w:jc w:val="left"/>
      </w:pPr>
      <w:r>
        <w:t>Status: WEITERGELEITET — Fachkanzlei Meinhardt &amp; Partner, Düsseldorf</w:t>
      </w:r>
    </w:p>
    <w:p/>
    <w:p>
      <w:pPr>
        <w:pStyle w:val="Heading2"/>
      </w:pPr>
      <w:r>
        <w:rPr>
          <w:rFonts w:ascii="Times New Roman" w:hAnsi="Times New Roman"/>
        </w:rPr>
        <w:t>Mandantendaten</w:t>
      </w:r>
    </w:p>
    <w:p>
      <w:pPr>
        <w:jc w:val="left"/>
      </w:pPr>
      <w:r>
        <w:t>Name: Helmut Trambach</w:t>
      </w:r>
    </w:p>
    <w:p>
      <w:pPr>
        <w:jc w:val="left"/>
      </w:pPr>
      <w:r>
        <w:t>geb.: 05.09.1957</w:t>
      </w:r>
    </w:p>
    <w:p>
      <w:pPr>
        <w:jc w:val="left"/>
      </w:pPr>
      <w:r>
        <w:t>Anschrift: Clevischer Ring 118, 51063 Köln-Mülheim</w:t>
      </w:r>
    </w:p>
    <w:p>
      <w:pPr>
        <w:jc w:val="left"/>
      </w:pPr>
      <w:r>
        <w:t>Tel.: 0221 / 96 43 21</w:t>
      </w:r>
    </w:p>
    <w:p>
      <w:pPr>
        <w:jc w:val="left"/>
      </w:pPr>
      <w:r>
        <w:t>E-Mail: helmut.trambach@email.de</w:t>
      </w:r>
    </w:p>
    <w:p>
      <w:pPr>
        <w:jc w:val="left"/>
      </w:pPr>
      <w:r>
        <w:t>Beruf: Rentner (ehemals Verwaltungsangestellter)</w:t>
      </w:r>
    </w:p>
    <w:p/>
    <w:p>
      <w:pPr>
        <w:pStyle w:val="Heading2"/>
      </w:pPr>
      <w:r>
        <w:rPr>
          <w:rFonts w:ascii="Times New Roman" w:hAnsi="Times New Roman"/>
        </w:rPr>
        <w:t>Sachverhalt</w:t>
      </w:r>
    </w:p>
    <w:p>
      <w:pPr>
        <w:jc w:val="left"/>
      </w:pPr>
      <w:r>
        <w:t>Herr Trambach wurde am 04.03.2026 im Klinikum Köln-Holweide (Chirurgie) an der Hüfte operiert (Hüftgelenkersatz, TEP links). Nach der Operation entwickelte sich eine Wundinfektion, die nach Angabe von Herrn Trambach auf eine Keimübertragung im OP-Bereich zurückzuführen ist. Herr Trambach musste am 18.03.2026 einer Revisionsoperation unterzogen werden. Er gibt an, ihm sei präoperativ nicht vollständig über das Infektionsrisiko aufgeklärt worden.</w:t>
      </w:r>
    </w:p>
    <w:p>
      <w:pPr>
        <w:jc w:val="left"/>
      </w:pPr>
      <w:r>
        <w:t>Folgen laut Mandantenangabe:</w:t>
      </w:r>
    </w:p>
    <w:p>
      <w:pPr>
        <w:pStyle w:val="ListBullet"/>
      </w:pPr>
      <w:r>
        <w:t>Verlängerte Krankenhausverweildauer (17 Tage statt geplant 7 Tage)</w:t>
      </w:r>
    </w:p>
    <w:p>
      <w:pPr>
        <w:pStyle w:val="ListBullet"/>
      </w:pPr>
      <w:r>
        <w:t>Mehrmonatige Rehabilitation (bis voraussichtlich September 2026)</w:t>
      </w:r>
    </w:p>
    <w:p>
      <w:pPr>
        <w:pStyle w:val="ListBullet"/>
      </w:pPr>
      <w:r>
        <w:t>Dauerhafter Bewegungseinschränkung nicht auszuschließen</w:t>
      </w:r>
    </w:p>
    <w:p>
      <w:pPr>
        <w:pStyle w:val="ListBullet"/>
      </w:pPr>
      <w:r>
        <w:t>Berufsunfähigkeitsleistungen der DRV in Frage gestellt (Rentner, aber Nebentätigkeit als Hausmeister, Einkommen ca. 600 EUR/Monat)</w:t>
      </w:r>
    </w:p>
    <w:p>
      <w:pPr>
        <w:pStyle w:val="ListBullet"/>
      </w:pPr>
      <w:r>
        <w:t>Schmerzensgeld: Anspruch auf ca. 25.000–60.000 EUR (orientierend ADAC-Schmerzensgeldtabelle vergleichbare Fälle)</w:t>
      </w:r>
    </w:p>
    <w:p/>
    <w:p>
      <w:pPr>
        <w:pStyle w:val="Heading2"/>
      </w:pPr>
      <w:r>
        <w:rPr>
          <w:rFonts w:ascii="Times New Roman" w:hAnsi="Times New Roman"/>
        </w:rPr>
        <w:t>Rechtliche Einschätzung und Kompetenzabwägung (Dr. Vellbruck, 19.06.2026)</w:t>
      </w:r>
    </w:p>
    <w:p>
      <w:pPr>
        <w:jc w:val="left"/>
      </w:pPr>
      <w:r>
        <w:t>Dr. Vellbruck stellte fest: Bei dem Sachverhalt handelt es sich um eine Arzthaftungssache (§§ 823, 630a ff. BGB; Behandlungsfehler, Aufklärungsfehler). Die Kanzlei Roosendaal &amp; Tannenfels verfügt über keinen Fachanwalt für Medizinrecht (FAMedR). Die Materie erfordert:</w:t>
      </w:r>
    </w:p>
    <w:p>
      <w:pPr>
        <w:pStyle w:val="ListBullet"/>
      </w:pPr>
      <w:r>
        <w:t>Kenntnis der medizinischen Leitlinien (RKI-Hygieneleitlinien Operationssaal)</w:t>
      </w:r>
    </w:p>
    <w:p>
      <w:pPr>
        <w:pStyle w:val="ListBullet"/>
      </w:pPr>
      <w:r>
        <w:t>Umgang mit Sachverständigengutachten (ärztliche Fachgutachter)</w:t>
      </w:r>
    </w:p>
    <w:p>
      <w:pPr>
        <w:pStyle w:val="ListBullet"/>
      </w:pPr>
      <w:r>
        <w:t>Erfahrung mit Schlichtungsstellen (Ärztekammer Nordrhein)</w:t>
      </w:r>
    </w:p>
    <w:p>
      <w:pPr>
        <w:pStyle w:val="ListBullet"/>
      </w:pPr>
      <w:r>
        <w:t>Klage vor dem Landgericht (Streitwert &gt; 25.000 EUR; zuständig LG Köln)</w:t>
      </w:r>
    </w:p>
    <w:p>
      <w:pPr>
        <w:jc w:val="left"/>
      </w:pPr>
      <w:r>
        <w:t>Eine Übernahme des Mandats ohne entsprechende Fachkompetenz wäre berufsrechtlich und haftungsrechtlich riskant (vgl. BRAO § 43a, allgemeine Sorgfaltspflicht).</w:t>
      </w:r>
    </w:p>
    <w:p/>
    <w:p>
      <w:pPr>
        <w:pStyle w:val="Heading2"/>
      </w:pPr>
      <w:r>
        <w:rPr>
          <w:rFonts w:ascii="Times New Roman" w:hAnsi="Times New Roman"/>
        </w:rPr>
        <w:t>Weiterleitung</w:t>
      </w:r>
    </w:p>
    <w:p>
      <w:pPr>
        <w:jc w:val="left"/>
      </w:pPr>
      <w:r>
        <w:t>Empfohlen und koordiniert: Fachkanzlei Meinhardt &amp; Partner, Rechtsanwälte, Düsseldorf (Spezialisierung Arzthaftungsrecht, Medizinrecht; Fachanwalt Dr. Lars Meinhardt FAMedR).</w:t>
      </w:r>
    </w:p>
    <w:p>
      <w:pPr>
        <w:jc w:val="left"/>
      </w:pPr>
      <w:r>
        <w:t>Kontaktaufnahme durch Dr. Vellbruck bei Dr. Meinhardt: 19.06.2026 (Telefonat). Dr. Meinhardt hat die Übernahme des Mandats grundsätzlich zugesagt; Herr Trambach wurde über die Weiterleitung informiert und hat zugestimmt.</w:t>
      </w:r>
    </w:p>
    <w:p>
      <w:pPr>
        <w:jc w:val="left"/>
      </w:pPr>
      <w:r>
        <w:t>Schreiben an Herrn Trambach (Weiterleitungsschreiben): 20.06.2026 (Aktenstück 17 dieser Akte)</w:t>
      </w:r>
    </w:p>
    <w:p>
      <w:pPr>
        <w:jc w:val="left"/>
      </w:pPr>
      <w:r>
        <w:t>Keine Beratungsgebühr erhoben (keine inhaltliche Rechtsauskunft erteilt, § 34 RVG nicht ausgelöst).</w:t>
      </w:r>
    </w:p>
    <w:p/>
    <w:p>
      <w:pPr>
        <w:pStyle w:val="Heading2"/>
      </w:pPr>
      <w:r>
        <w:rPr>
          <w:rFonts w:ascii="Times New Roman" w:hAnsi="Times New Roman"/>
        </w:rPr>
        <w:t>Anmerkungen</w:t>
      </w:r>
    </w:p>
    <w:p>
      <w:pPr>
        <w:pStyle w:val="ListBullet"/>
      </w:pPr>
      <w:r>
        <w:t>Verjährungsfrist: Arzthaftungsansprüche verjähren nach §§ 195, 199 BGB in 3 Jahren ab Kenntniserlangung. Kenntnisdatum hier: spätestens 18.03.2026 (Revisionsoperation). Verjährungsende: 31.12.2029. Keine Fristdringlichkeit im Sommer 2026, aber Dr. Meinhardt wurde auf die Verjährungsthematik hingewiesen.</w:t>
      </w:r>
    </w:p>
    <w:p>
      <w:pPr>
        <w:pStyle w:val="ListBullet"/>
      </w:pPr>
      <w:r>
        <w:t>Schlichtungsverfahren: Ärztekammer Nordrhein bietet Schlichtungsverfahren an (kostengünstig, vor Klage zu erwägen).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