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Erstberatungsvermerk — Anfrage-07 Merkel (Gesellschafterstreit)</w:t>
      </w:r>
    </w:p>
    <w:p>
      <w:pPr>
        <w:jc w:val="left"/>
      </w:pPr>
      <w:r>
        <w:t>Aktenzeichen: RT-2026-Q2-0318</w:t>
      </w:r>
    </w:p>
    <w:p>
      <w:pPr>
        <w:jc w:val="left"/>
      </w:pPr>
      <w:r>
        <w:t>Datum der (abgebrochenen) Erstberatung: 03.06.2026, 10:30–10:52 Uhr (22 Minuten)</w:t>
      </w:r>
    </w:p>
    <w:p>
      <w:pPr>
        <w:jc w:val="left"/>
      </w:pPr>
      <w:r>
        <w:t>Beratender Anwalt: Dr. Falk Roosendaal</w:t>
      </w:r>
    </w:p>
    <w:p>
      <w:pPr>
        <w:jc w:val="left"/>
      </w:pPr>
      <w:r>
        <w:t>Anfragende: Dr. Petra Merkel, Rolandstraße 52, 53179 Bonn</w:t>
      </w:r>
    </w:p>
    <w:p>
      <w:pPr>
        <w:jc w:val="left"/>
      </w:pPr>
      <w:r>
        <w:t>Status: Beratung abgebrochen; Mandat nicht erteilt; Interessenkollision festgestellt</w:t>
      </w:r>
    </w:p>
    <w:p>
      <w:pPr>
        <w:jc w:val="left"/>
      </w:pPr>
      <w:r>
        <w:t>HINWEIS: Dieser Vermerk ist vertraulich und darf nur dem Managing Partner Dr. Roosendaal zugänglich sein. Er dient ausschließlich der internen Dokumentation des Abbruchvorgangs. Inhaltliche Angaben aus der abgebrochenen Beratung dürfen nicht an den Bestandsmandanten Robert Köhn weitergegeben werden (BRAO § 43a Abs. 2).</w:t>
      </w:r>
    </w:p>
    <w:p/>
    <w:p>
      <w:pPr>
        <w:pStyle w:val="Heading2"/>
      </w:pPr>
      <w:r>
        <w:rPr>
          <w:rFonts w:ascii="Times New Roman" w:hAnsi="Times New Roman"/>
        </w:rPr>
        <w:t>I. Sachverhaltsaufnahme (soweit erfasst bis Abbruch)</w:t>
      </w:r>
    </w:p>
    <w:p>
      <w:pPr>
        <w:jc w:val="left"/>
      </w:pPr>
      <w:r>
        <w:t>Dr. Merkel schilderte vor dem Abbruch folgende Eckdaten:</w:t>
      </w:r>
    </w:p>
    <w:p>
      <w:pPr>
        <w:pStyle w:val="ListBullet"/>
      </w:pPr>
      <w:r>
        <w:t>Sie ist Mitgesellschafterin der Merkel &amp; Köhn Architektur GbR in Bonn, gemeinsam mit Dipl.-Ing. Robert Köhn.</w:t>
      </w:r>
    </w:p>
    <w:p>
      <w:pPr>
        <w:pStyle w:val="ListBullet"/>
      </w:pPr>
      <w:r>
        <w:t>Der GbR-Vertrag stammt aus dem Jahr 2019; keine notarielle Beurkundung.</w:t>
      </w:r>
    </w:p>
    <w:p>
      <w:pPr>
        <w:pStyle w:val="ListBullet"/>
      </w:pPr>
      <w:r>
        <w:t>Streitpunkte: (1) Ergebnisverteilung 2025 (Sonderentnahme Köhn für Großprojekt Schulneubau); (2) Auseinandersetzung und Abfindung wegen beabsichtigtem Ausscheiden Dr. Merkels; (3) Wettbewerbsklausel in § 14 GbR-Vertrag.</w:t>
      </w:r>
    </w:p>
    <w:p>
      <w:pPr>
        <w:pStyle w:val="ListBullet"/>
      </w:pPr>
      <w:r>
        <w:t>Dr. Merkel nannte den Namen des Mitgesellschafters: Dipl.-Ing. Robert Köhn.</w:t>
      </w:r>
    </w:p>
    <w:p>
      <w:pPr>
        <w:jc w:val="left"/>
      </w:pPr>
      <w:r>
        <w:t>An dieser Stelle unterbrach Dr. Roosendaal die Besprechung.</w:t>
      </w:r>
    </w:p>
    <w:p/>
    <w:p>
      <w:pPr>
        <w:pStyle w:val="Heading2"/>
      </w:pPr>
      <w:r>
        <w:rPr>
          <w:rFonts w:ascii="Times New Roman" w:hAnsi="Times New Roman"/>
        </w:rPr>
        <w:t>II. Feststellung des Interessenkonflikts</w:t>
      </w:r>
    </w:p>
    <w:p>
      <w:pPr>
        <w:jc w:val="left"/>
      </w:pPr>
      <w:r>
        <w:t>Nach Abklärung mit der Kanzleiverwaltung (Advoware-Abfrage): Dipl.-Ing. Robert Köhn, Bonn, ist Bestandsmandant der Kanzlei Roosendaal &amp; Tannenfels unter AZ RT-2023-GS-0207 (laufend; Gesellschaftsrechtssache, betreut durch Dr. Roosendaal selbst). Das laufende Mandat Köhn betrifft einen anderen Sachverhalt (Mehrheitsbeteiligungsfrage an einer dritten Gesellschaft), berührt aber die GbR mit Dr. Merkel nicht unmittelbar.</w:t>
      </w:r>
    </w:p>
    <w:p>
      <w:pPr>
        <w:jc w:val="left"/>
      </w:pPr>
      <w:r>
        <w:t>Einschlägige Normen:</w:t>
      </w:r>
    </w:p>
    <w:p>
      <w:pPr>
        <w:pStyle w:val="ListBullet"/>
      </w:pPr>
      <w:r>
        <w:t>BORA § 3 Abs. 1: Kein Tätigwerden bei widerstreitenden Interessen (Dr. Merkel ist Gegnerin des Mandanten Köhn im vorliegenden Fall).</w:t>
      </w:r>
    </w:p>
    <w:p>
      <w:pPr>
        <w:pStyle w:val="ListBullet"/>
      </w:pPr>
      <w:r>
        <w:t>BRAO § 43a Abs. 4: Verschwiegenheitspflicht — Kenntnisse aus dem Mandat Köhn dürfen nicht für oder gegen Dr. Merkel verwendet werden.</w:t>
      </w:r>
    </w:p>
    <w:p>
      <w:pPr>
        <w:pStyle w:val="ListBullet"/>
      </w:pPr>
      <w:r>
        <w:t>BGH, Urt. v. 23.04.2012, Az. AnwZ (Brfg) 35/11: Interessenkonflikt auch bei abstrakter Gefahr des Informationsmissbrauchs.</w:t>
      </w:r>
    </w:p>
    <w:p/>
    <w:p>
      <w:pPr>
        <w:pStyle w:val="Heading2"/>
      </w:pPr>
      <w:r>
        <w:rPr>
          <w:rFonts w:ascii="Times New Roman" w:hAnsi="Times New Roman"/>
        </w:rPr>
        <w:t>III. Entscheidung und Kommunikation</w:t>
      </w:r>
    </w:p>
    <w:p>
      <w:pPr>
        <w:jc w:val="left"/>
      </w:pPr>
      <w:r>
        <w:t>Dr. Roosendaal erläuterte Dr. Merkel um 10:52 Uhr den Interessenkonflikt in allgemeiner Form (ohne Nennung des laufenden Mandats Köhn oder Inhalten). Er teilte mit, dass die Kanzlei das Mandat nicht übernehmen kann.</w:t>
      </w:r>
    </w:p>
    <w:p>
      <w:pPr>
        <w:jc w:val="left"/>
      </w:pPr>
      <w:r>
        <w:t>Mündliche Kommunikation: 03.06.2026, 10:52 Uhr</w:t>
      </w:r>
    </w:p>
    <w:p>
      <w:pPr>
        <w:jc w:val="left"/>
      </w:pPr>
      <w:r>
        <w:t>Schriftliche Mandatsrücknahme: 03.06.2026, 14:30 Uhr (E-Mail an Dr. Merkel; Entwurf in Aktenstück 16)</w:t>
      </w:r>
    </w:p>
    <w:p>
      <w:pPr>
        <w:jc w:val="left"/>
      </w:pPr>
      <w:r>
        <w:t>Mandatsbestätigung (irrtümlich versandt 02.06.2026): explizit widerrufen in der E-Mail.</w:t>
      </w:r>
    </w:p>
    <w:p>
      <w:pPr>
        <w:jc w:val="left"/>
      </w:pPr>
      <w:r>
        <w:t>Empfehlung an Dr. Merkel: Kanzlei Kreutzer &amp; Ballmann, Bonn, Rochusstraße 24, 53123 Bonn, Tel. 0228 / 94 50 10.</w:t>
      </w:r>
    </w:p>
    <w:p/>
    <w:p>
      <w:pPr>
        <w:pStyle w:val="Heading2"/>
      </w:pPr>
      <w:r>
        <w:rPr>
          <w:rFonts w:ascii="Times New Roman" w:hAnsi="Times New Roman"/>
        </w:rPr>
        <w:t>IV. Inhaltliche Nichtauswertung</w:t>
      </w:r>
    </w:p>
    <w:p>
      <w:pPr>
        <w:jc w:val="left"/>
      </w:pPr>
      <w:r>
        <w:t>Da die Beratung nach 22 Minuten abgebrochen wurde, ohne dass Dr. Roosendaal auf die Rechtslage einzugehen hatte, gibt es keine inhaltliche Beratungsleistung. Kein Honorar wird erhoben. Keine Informationen aus diesem Gespräch fließen in das laufende Mandat Köhn ein.</w:t>
      </w:r>
    </w:p>
    <w:p/>
    <w:p>
      <w:pPr>
        <w:pStyle w:val="Heading2"/>
      </w:pPr>
      <w:r>
        <w:rPr>
          <w:rFonts w:ascii="Times New Roman" w:hAnsi="Times New Roman"/>
        </w:rPr>
        <w:t>V. Interne Konsequenzen</w:t>
      </w:r>
    </w:p>
    <w:p>
      <w:pPr>
        <w:jc w:val="left"/>
      </w:pPr>
      <w:r>
        <w:t>Der Fehler (Mandatsbestätigung vor Konfliktcheck) führte zu folgenden internen Maßnahmen (Details in Aktenstück 22):</w:t>
      </w:r>
    </w:p>
    <w:p>
      <w:pPr>
        <w:pStyle w:val="ListNumber"/>
      </w:pPr>
      <w:r>
        <w:t>Neue Kanzleianweisung: Mandatsbestätigung darf erst nach schriftlicher Freigabe durch den zuständigen RA versandt werden.</w:t>
      </w:r>
    </w:p>
    <w:p>
      <w:pPr>
        <w:pStyle w:val="ListNumber"/>
      </w:pPr>
      <w:r>
        <w:t>Konfliktcheck-Checkliste: Ab 01.07.2026 Pflichtformular vor jedem Erstgespräch, mit Unterschrift des prüfenden Rechtsanwalts.</w:t>
      </w:r>
    </w:p>
    <w:p>
      <w:pPr>
        <w:pStyle w:val="ListNumber"/>
      </w:pPr>
      <w:r>
        <w:t>Schulung Sekretariat: KW 27/2026 (07.07.2026), Thema: Aufnahmeprozess und Konfliktcheck.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