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Matter Dashboard — Stand 01.06.2026 18:40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Ampel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Nächster Schritt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Eilantrag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Entwurf 70 %, Anlagen K1-K18 sortiert, eidesstattliche Versicherungen fehlen teilweise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Kanzlei/Nordstern Clinical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EV Dr. Hellfeld bis 04.06. 10:00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Budget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173 % Forecast gegenüber Phase-1-Cap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Falkenried / Auer / Kordes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Reforecast-Call 04.06. 16:30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Regulatory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ATMP-Einordnung plausibel, aber PEI-Kommunikation unvollständig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Nordstern Regulatory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Behördenchronologie nachreichen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Datenraum enthält Patient Initials in zwei Laborberichten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Nordstern Legal Ops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Schwärzung prüfen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Rechnung April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48.600 EUR streitig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Finance/Kanzlei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Narrative neu schreiben, Kürzungslogik verhandeln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Beziehung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Fachlich Vertrauen hoch, kaufmännisch angespannt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GC/Partnerin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Bad-News-Memo plus Quickwin-Plan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Kanzlei-Einschätzung</w:t>
      </w:r>
    </w:p>
    <w:p>
      <w:pPr>
        <w:jc w:val="left"/>
      </w:pPr>
      <w:r>
        <w:t>Eilverfahren ist möglich, aber die Dringlichkeit steht wegen interner Kenntnis seit Ende März unter Druck. Ohne saubere Dringlichkeitschronologie droht eine unangenehme richterliche Nachfrage.</w:t>
      </w:r>
    </w:p>
    <w:p>
      <w:pPr>
        <w:pStyle w:val="Heading2"/>
      </w:pPr>
      <w:r>
        <w:rPr>
          <w:rFonts w:ascii="Times New Roman" w:hAnsi="Times New Roman"/>
        </w:rPr>
        <w:t>Mandanten-Einschätzung</w:t>
      </w:r>
    </w:p>
    <w:p>
      <w:pPr>
        <w:jc w:val="left"/>
      </w:pPr>
      <w:r>
        <w:t>Das Geschäftsziel ist nicht primär Schadensersatz, sondern Zugang zu Spezifikationen und Sicherung der Proben. Ein teurer Grundsatzprozess ist nicht gewollt.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