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Decision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Entscheidung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Optionen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Empfehlung Kanzlei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Entscheidung Mandantin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Offen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08.04.2026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Eilrechtsschutz vorbereiten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sofort Antrag / erst Abmahnung / nur Verhandlung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Abmahnung mit Entwurfsdruck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Abmahnung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Dringlichkeitsrisiko dokumentieren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Externer ATMP-Berater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 / nein / nur anonymisiert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ja, mit NDA und Datenminimierung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vertagt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Procurement-Freigabe fehlt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26.04.2026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Budget Reforecast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180k halten / 260k / neues Cap 320k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295k realistisch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nicht entschieden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CFO war nicht im Call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09.05.2026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Gerichtsort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München / Hamburg / Frankfurt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München wegen Sitz MedVector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München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Zuständigkeit nochmal prüfen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Vergleichsfenster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nur Herausgabe / Herausgabe plus Zahlung / Unterlassung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Herausgabe plus Auditrecht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tendenziell ja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Board-Freigabe nötig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