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Rechnungsreview April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Kanzlei-Narrative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Mandanteneinwand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Vorschlag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18,7 h Regulatory Memo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notwendig für Eilrechtsschutz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außerhalb Scope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60 % akzeptieren, Rest als Relationship Credit diskutieren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6,4 h Partner Review Anlagen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Qualitätskontrolle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senior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erklären: strategische Anlagen K3/K8/K12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4,1 h interner Call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Teamabstimmung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abrechenbar nach OCG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streichen oder als nicht billable markieren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Reise Hamburg-München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Strategy Session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Video hätte gereicht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50 % Reisezeit nach OCG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2,9 h Budgetupdate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Kanzlei-intern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sollte nicht kostenpflichtig sein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streichen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Tonalität für den Call</w:t>
      </w:r>
    </w:p>
    <w:p>
      <w:pPr>
        <w:jc w:val="left"/>
      </w:pPr>
      <w:r>
        <w:t>Nicht mit „Das ist alles berechtigt“ anfangen. Besser: „Wir sehen, warum die Rechnung irritiert. Fachlich war die Lage enger und schneller als geplant; kaufmännisch hätten wir früher reforecasten müssen.“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