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Board One-Pager — Projekt Aurora</w:t>
      </w:r>
    </w:p>
    <w:p>
      <w:pPr>
        <w:pStyle w:val="Heading2"/>
      </w:pPr>
      <w:r>
        <w:rPr>
          <w:rFonts w:ascii="Times New Roman" w:hAnsi="Times New Roman"/>
        </w:rPr>
        <w:t>Entscheidungsbedarf</w:t>
      </w:r>
    </w:p>
    <w:p>
      <w:pPr>
        <w:jc w:val="left"/>
      </w:pPr>
      <w:r>
        <w:t>Der Vorstand soll freigeben, dass Nordstern den Eilantrag vorbereitet und das Budget Cap für Phase 1 von 180.000 EUR auf 285.000 EUR netto erhöht. Ein weiterer Reforecast ist erforderlich, wenn das Gericht mündlich verhandelt oder ein Sachverständiger eingeschaltet wird.</w:t>
      </w:r>
    </w:p>
    <w:p>
      <w:pPr>
        <w:pStyle w:val="Heading2"/>
      </w:pPr>
      <w:r>
        <w:rPr>
          <w:rFonts w:ascii="Times New Roman" w:hAnsi="Times New Roman"/>
        </w:rPr>
        <w:t>Warum jetzt</w:t>
      </w:r>
    </w:p>
    <w:p>
      <w:pPr>
        <w:jc w:val="left"/>
      </w:pPr>
      <w:r>
        <w:t>MedVector besitzt weiterhin technische Spezifikationen und Proben. Ohne Zugriff kann Nordstern die Abweichungen nicht sauber gegenüber Investoren und Behörden erklären. Das Prozessziel ist Daten- und Probensicherung, nicht maximale Eskalation.</w:t>
      </w:r>
    </w:p>
    <w:p>
      <w:pPr>
        <w:pStyle w:val="Heading2"/>
      </w:pPr>
      <w:r>
        <w:rPr>
          <w:rFonts w:ascii="Times New Roman" w:hAnsi="Times New Roman"/>
        </w:rPr>
        <w:t>Risiken</w:t>
      </w:r>
    </w:p>
    <w:p>
      <w:pPr>
        <w:pStyle w:val="ListBullet"/>
      </w:pPr>
      <w:r>
        <w:t>Dringlichkeit: Kenntnis einzelner Qualitätsprobleme schon Ende März.</w:t>
      </w:r>
    </w:p>
    <w:p>
      <w:pPr>
        <w:pStyle w:val="ListBullet"/>
      </w:pPr>
      <w:r>
        <w:t>Kosten: Bisherige Kanzleikosten über ursprünglichem Cap.</w:t>
      </w:r>
    </w:p>
    <w:p>
      <w:pPr>
        <w:pStyle w:val="ListBullet"/>
      </w:pPr>
      <w:r>
        <w:t>Datenschutz: Laborberichte müssen vor Anlagenversand geschwärzt werden.</w:t>
      </w:r>
    </w:p>
    <w:p>
      <w:pPr>
        <w:pStyle w:val="ListBullet"/>
      </w:pPr>
      <w:r>
        <w:t>Beziehung: MedVector ist zugleich potenzieller Lieferant für Ersatzcharge.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Freigabe Eilrechtsschutz mit Vergleichsfenster. Parallel Budget-Reset, wöchentlicher Forecast und klare Freigabe für externe ATMP-Beratung.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