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3D-Marke: Rechtliche Analyse der Unterscheidungskraft</w:t>
      </w:r>
    </w:p>
    <w:p>
      <w:pPr>
        <w:jc w:val="left"/>
      </w:pPr>
      <w:r>
        <w:rPr>
          <w:b/>
        </w:rPr>
        <w:t>Bearbeiter:</w:t>
      </w:r>
      <w:r>
        <w:t xml:space="preserve"> PA Dr. Volkmar Trautmann</w:t>
      </w:r>
    </w:p>
    <w:p>
      <w:pPr>
        <w:jc w:val="left"/>
      </w:pPr>
      <w:r>
        <w:rPr>
          <w:b/>
        </w:rPr>
        <w:t>Datum:</w:t>
      </w:r>
      <w:r>
        <w:t xml:space="preserve"> 18. April 2026</w:t>
      </w:r>
    </w:p>
    <w:p>
      <w:pPr>
        <w:jc w:val="left"/>
      </w:pPr>
      <w:r>
        <w:rPr>
          <w:b/>
        </w:rPr>
        <w:t>Verfahren:</w:t>
      </w:r>
      <w:r>
        <w:t xml:space="preserve"> EUIPO BoA R 1322/26-2 (Nichtigkeitsantrag Bouqart Italia S.r.l.)</w:t>
      </w:r>
    </w:p>
    <w:p/>
    <w:p>
      <w:pPr>
        <w:pStyle w:val="Heading2"/>
      </w:pPr>
      <w:r>
        <w:rPr>
          <w:rFonts w:ascii="Times New Roman" w:hAnsi="Times New Roman"/>
        </w:rPr>
        <w:t>1. Einleitung und Verfahrensgegenstand</w:t>
      </w:r>
    </w:p>
    <w:p>
      <w:pPr>
        <w:jc w:val="left"/>
      </w:pPr>
      <w:r>
        <w:t>Im Beschwerdeverfahren R 1322/26-2 wendet sich Bouqart Italia S.r.l. gegen die Entscheidung der EUIPO-Nichtigkeitsabteilung vom 08. Januar 2026, mit der der Antrag auf Nichtigerklärung der EU-3D-Marke 018 977 412 zurückgewiesen wurde. Der Board of Appeal muss prüfen, ob die eingetragene dreidimensionale Gestaltung der Rosenbluete die Anforderungen des Art. 7 Abs. 1 lit. b UMV erfüllt.</w:t>
      </w:r>
    </w:p>
    <w:p>
      <w:pPr>
        <w:jc w:val="left"/>
      </w:pPr>
      <w:r>
        <w:t>Vorliegendes Aktenstück gibt eine umfassende Analyse der Rechtslage aus Sicht der Markeninhaberin wider und dient als Grundlage für die Beschwerdegegenschrift (Aktenstück 09).</w:t>
      </w:r>
    </w:p>
    <w:p>
      <w:pPr>
        <w:pStyle w:val="Heading2"/>
      </w:pPr>
      <w:r>
        <w:rPr>
          <w:rFonts w:ascii="Times New Roman" w:hAnsi="Times New Roman"/>
        </w:rPr>
        <w:t>2. Rechtlicher Rahmen — Art. 7 Abs. 1 lit. b UMV</w:t>
      </w:r>
    </w:p>
    <w:p>
      <w:pPr>
        <w:jc w:val="left"/>
      </w:pPr>
      <w:r>
        <w:t>Nach Art. 7 Abs. 1 lit. b der Unionsmarkenverordnung (EU) 2017/1001 (UMV) sind Marken von der Eintragung ausgeschlossen, die keine Unterscheidungskraft haben. Für dreidimensionale Marken — also Formmarken — gelten nach ständiger Rechtsprechung des EuGH und des EuG strenge Maßstäbe.</w:t>
      </w:r>
    </w:p>
    <w:p>
      <w:pPr>
        <w:pStyle w:val="Heading3"/>
      </w:pPr>
      <w:r>
        <w:rPr>
          <w:rFonts w:ascii="Times New Roman" w:hAnsi="Times New Roman"/>
        </w:rPr>
        <w:t>2.1 Grundsatz des erhöhten Prüfungsmaßstabs</w:t>
      </w:r>
    </w:p>
    <w:p>
      <w:pPr>
        <w:jc w:val="left"/>
      </w:pPr>
      <w:r>
        <w:t>Der EuGH hat in der Rechtssache Henkel/HABM (C-456/01 P und C-457/01 P) sowie in Erweiterung in Storck/HABM (C-25/05 P) festgelegt:</w:t>
      </w:r>
    </w:p>
    <w:p>
      <w:pPr>
        <w:ind w:left="567"/>
      </w:pPr>
      <w:r>
        <w:rPr>
          <w:i/>
        </w:rPr>
        <w:t>„Bei der Beurteilung der Unterscheidungskraft von 3D-Marken gelten dieselben Kriterien wie für andere Kategorien von Marken. Jedoch dürfen die Verbraucher in der Form eines Produkts oder seiner Verpackung kein Zeichen sehen, das Waren verschiedener Unternehmen unterscheidet."</w:t>
      </w:r>
    </w:p>
    <w:p>
      <w:pPr>
        <w:jc w:val="left"/>
      </w:pPr>
      <w:r>
        <w:t>Dies bedeutet: Bei Formmarken ist stets zu prüfen, ob die Gesamtheit der konkreten Gestaltung erheblich vom branchenüblichen Standard abweicht. Nur dann ist Unterscheidungskraft anzunehmen.</w:t>
      </w:r>
    </w:p>
    <w:p>
      <w:pPr>
        <w:pStyle w:val="Heading3"/>
      </w:pPr>
      <w:r>
        <w:rPr>
          <w:rFonts w:ascii="Times New Roman" w:hAnsi="Times New Roman"/>
        </w:rPr>
        <w:t>2.2 Abweichung vom branchenüblichen Standard</w:t>
      </w:r>
    </w:p>
    <w:p>
      <w:pPr>
        <w:jc w:val="left"/>
      </w:pPr>
      <w:r>
        <w:t>Maßgeblich ist das Warenverzeichnis (Klasse 20: Dekorationsgegenstände; Klasse 27: Gartendekorationen). Im Marktumfeld für gegossene Gartendekorationen existieren zahlreiche Produkte in Blumenform. Die Frage lautet: Weicht die konkrete Gestaltung der Leichtenstein-Rosenbluete von dem ab, was der Durchschnittsverbraucher aus diesem Segment als übliche Form kennt?</w:t>
      </w:r>
    </w:p>
    <w:p>
      <w:pPr>
        <w:jc w:val="left"/>
      </w:pPr>
      <w:r>
        <w:rPr>
          <w:b/>
        </w:rPr>
        <w:t>Argumente für erhebliche Abweichung (Pro-Unterscheidungskraft):</w:t>
      </w:r>
    </w:p>
    <w:p>
      <w:pPr>
        <w:pStyle w:val="ListNumber"/>
      </w:pPr>
      <w:r>
        <w:rPr>
          <w:b/>
        </w:rPr>
        <w:t>Spezifische Proportionierung:</w:t>
      </w:r>
      <w:r>
        <w:t xml:space="preserve"> Das Verhältnis von Blütenkopfdurchmesser (18,5 cm) zu Stielschaftlänge (42 cm) ist für das Segment ungewöhnlich. Herkömmliche Gartendekoration in Blumenform weist deutlich kürzere Stiele oder deutlich größere Blütenköpfe auf.</w:t>
      </w:r>
    </w:p>
    <w:p>
      <w:pPr>
        <w:pStyle w:val="ListNumber"/>
      </w:pPr>
      <w:r>
        <w:rPr>
          <w:b/>
        </w:rPr>
        <w:t>Charakteristischer S-Schwung des Schaftes:</w:t>
      </w:r>
      <w:r>
        <w:t xml:space="preserve"> Die geschwungene Stielform ist in dieser präzisen Ausführung im Segment nicht üblich. Wettbewerberprodukte zeigen überwiegend gerade oder leicht gebogene Stiele.</w:t>
      </w:r>
    </w:p>
    <w:p>
      <w:pPr>
        <w:pStyle w:val="ListNumber"/>
      </w:pPr>
      <w:r>
        <w:rPr>
          <w:b/>
        </w:rPr>
        <w:t>Blattattrappe auf halber Höhe:</w:t>
      </w:r>
      <w:r>
        <w:t xml:space="preserve"> Das künstlerisch ausgeformte Einzelblatt auf halber Schafthöhe (kein Doppelblatt, keine symmetrische Anordnung) ist ein Alleinstellungsmerkmal, das in Konkurrenzprodukten nicht vorkommt.</w:t>
      </w:r>
    </w:p>
    <w:p>
      <w:pPr>
        <w:pStyle w:val="ListNumber"/>
      </w:pPr>
      <w:r>
        <w:rPr>
          <w:b/>
        </w:rPr>
        <w:t>Blütenblattanordnung in zwei versetzten Lagen:</w:t>
      </w:r>
      <w:r>
        <w:t xml:space="preserve"> Die Kombination aus acht äußeren und sieben inneren Blütenblättern in leicht versetzter Anordnung gibt der Blüte eine räumliche Tiefe, die für das Segment charakteristisch und unverwechselbar ist.</w:t>
      </w:r>
    </w:p>
    <w:p>
      <w:pPr>
        <w:pStyle w:val="ListNumber"/>
      </w:pPr>
      <w:r>
        <w:rPr>
          <w:b/>
        </w:rPr>
        <w:t>Patinierung als Gesamtwirkung:</w:t>
      </w:r>
      <w:r>
        <w:t xml:space="preserve"> Die Oberflächenstruktur (Patina in Schwarz-Anthrazit mit Rost-Akzenten an den Blütenblattspitzen) ist integraler Bestandteil der dreidimensionalen Erscheinung und verstärkt die Wiedererkennbarkeit.</w:t>
      </w:r>
    </w:p>
    <w:p>
      <w:pPr>
        <w:jc w:val="left"/>
      </w:pPr>
      <w:r>
        <w:rPr>
          <w:b/>
        </w:rPr>
        <w:t>Gegenseitige Argumente (die Bouqart vorbringen wird):</w:t>
      </w:r>
    </w:p>
    <w:p>
      <w:pPr>
        <w:pStyle w:val="ListNumber"/>
      </w:pPr>
      <w:r>
        <w:t>Rosenformen sind im Gartendeko-Segment verbreitet.</w:t>
      </w:r>
    </w:p>
    <w:p>
      <w:pPr>
        <w:pStyle w:val="ListNumber"/>
      </w:pPr>
      <w:r>
        <w:t>Der Verbraucher sieht in der Blütenform in erster Linie eine Schönform, keinen Herkunftshinweis.</w:t>
      </w:r>
    </w:p>
    <w:p>
      <w:pPr>
        <w:pStyle w:val="ListNumber"/>
      </w:pPr>
      <w:r>
        <w:t>Schwungvolle Stiele und naturalistische Blattdarstellungen sind typische stilistische Elemente dieser Produktkategorie.</w:t>
      </w:r>
    </w:p>
    <w:p>
      <w:pPr>
        <w:pStyle w:val="Heading3"/>
      </w:pPr>
      <w:r>
        <w:rPr>
          <w:rFonts w:ascii="Times New Roman" w:hAnsi="Times New Roman"/>
        </w:rPr>
        <w:t>2.3 Tatsächliche Unterscheidungskraft vs. Verkehrsdurchsetzung</w:t>
      </w:r>
    </w:p>
    <w:p>
      <w:pPr>
        <w:jc w:val="left"/>
      </w:pPr>
      <w:r>
        <w:t>Die eingetragene Marke wurde originär als unterscheidungskräftig angemeldet und eingetragen — ein Nachweis der Verkehrsdurchsetzung (Art. 7 Abs. 3 UMV) war bei der Eintragung nicht erforderlich. In der Verteidigung des Nichtigkeitsantrags kann jedoch hilfsweise auf Verkehrsdurchsetzung abgestellt werden.</w:t>
      </w:r>
    </w:p>
    <w:p>
      <w:pPr>
        <w:jc w:val="left"/>
      </w:pPr>
      <w:r>
        <w:t>Hierfür sind nachzuweisen:</w:t>
      </w:r>
    </w:p>
    <w:p>
      <w:pPr>
        <w:pStyle w:val="ListBullet"/>
      </w:pPr>
      <w:r>
        <w:t>Intensiver Gebrauch der Marke im relevanten Zeitraum</w:t>
      </w:r>
    </w:p>
    <w:p>
      <w:pPr>
        <w:pStyle w:val="ListBullet"/>
      </w:pPr>
      <w:r>
        <w:t>Umsatz und Marktanteil der geschützten Ware</w:t>
      </w:r>
    </w:p>
    <w:p>
      <w:pPr>
        <w:pStyle w:val="ListBullet"/>
      </w:pPr>
      <w:r>
        <w:t>Werbeinvestitionen</w:t>
      </w:r>
    </w:p>
    <w:p>
      <w:pPr>
        <w:pStyle w:val="ListBullet"/>
      </w:pPr>
      <w:r>
        <w:t>Bekanntheit unter den maßgeblichen Verkehrskreisen (Gartendekorations-Käufer, Fachhandel)</w:t>
      </w:r>
    </w:p>
    <w:p>
      <w:pPr>
        <w:jc w:val="left"/>
      </w:pPr>
      <w:r>
        <w:t>Vorläufige Zahlen (vgl. Aktenstück 17 zur Vertiefung):</w:t>
      </w:r>
    </w:p>
    <w:p>
      <w:pPr>
        <w:pStyle w:val="ListBullet"/>
      </w:pPr>
      <w:r>
        <w:t>Jahresumsatz Rosenbluete-Produktlinie 2024: ca. 2,32 Millionen EUR</w:t>
      </w:r>
    </w:p>
    <w:p>
      <w:pPr>
        <w:pStyle w:val="ListBullet"/>
      </w:pPr>
      <w:r>
        <w:t>Stückzahl: ca. 8.800 Einheiten pro Jahr (alle Varianten)</w:t>
      </w:r>
    </w:p>
    <w:p>
      <w:pPr>
        <w:pStyle w:val="ListBullet"/>
      </w:pPr>
      <w:r>
        <w:t>Vertriebskanäle: Eigenwebshop, 34 stationäre Fachgartenhandelsbetriebe, drei internationale Designmessen (Spoga+Gafa Köln, Salon du Jardin Paris, Chelsea Garden Fair London)</w:t>
      </w:r>
    </w:p>
    <w:p>
      <w:pPr>
        <w:pStyle w:val="Heading2"/>
      </w:pPr>
      <w:r>
        <w:rPr>
          <w:rFonts w:ascii="Times New Roman" w:hAnsi="Times New Roman"/>
        </w:rPr>
        <w:t>3. Art. 7 Abs. 1 lit. e UMV — Ausschluss der technisch bedingten Form</w:t>
      </w:r>
    </w:p>
    <w:p>
      <w:pPr>
        <w:jc w:val="left"/>
      </w:pPr>
      <w:r>
        <w:t>Bouqart hat im erstinstanzlichen Verfahren auch angedeutet, die Form sei durch die Art der Ware bedingt (Art. 7 Abs. 1 lit. e UMV, sog. Funktionalitätseinwand). Dieses Argument ist hier nicht überzeugend:</w:t>
      </w:r>
    </w:p>
    <w:p>
      <w:pPr>
        <w:jc w:val="left"/>
      </w:pPr>
      <w:r>
        <w:t>Eine Gartendekoration hat keine technische Funktion im engeren Sinne. Die Rosenbluete-Form ist rein dekorativ und ergibt sich nicht aus technischen Notwendigkeiten. Ansonsten wäre jede Blumenform für Gartendekorationen unschützbar, was dem Sinn des Marken- und Designschutzes widersprechen würde. Der EuGH hat in Lego Juris/HABM (C-48/09 P) klargestellt, dass Art. 7 Abs. 1 lit. e UMV nur eingreift, wenn wesentliche Merkmale der Form technisch bedingt sind.</w:t>
      </w:r>
    </w:p>
    <w:p>
      <w:pPr>
        <w:pStyle w:val="Heading2"/>
      </w:pPr>
      <w:r>
        <w:rPr>
          <w:rFonts w:ascii="Times New Roman" w:hAnsi="Times New Roman"/>
        </w:rPr>
        <w:t>4. Vergleich mit EUIPO-Entscheidungspraxis</w:t>
      </w:r>
    </w:p>
    <w:p>
      <w:pPr>
        <w:pStyle w:val="Heading3"/>
      </w:pPr>
      <w:r>
        <w:rPr>
          <w:rFonts w:ascii="Times New Roman" w:hAnsi="Times New Roman"/>
        </w:rPr>
        <w:t>4.1 Entscheidungen zu Gartendekorationen</w:t>
      </w:r>
    </w:p>
    <w:p>
      <w:pPr>
        <w:jc w:val="left"/>
      </w:pPr>
      <w:r>
        <w:t>Das EUIPO hat bislang selten 3D-Marken für Gartendekorationen eingetragen. Soweit bekannt, wurde in vergleichbaren Fällen tendenziell auf Verkehrsdurchsetzung abgestellt. Folgende Grundsätze lassen sich ableiten:</w:t>
      </w:r>
    </w:p>
    <w:p>
      <w:pPr>
        <w:pStyle w:val="ListBullet"/>
      </w:pPr>
      <w:r>
        <w:t>EUIPO BoA R 0717/2015-5 (dekoratives Vogelbad): Unterscheidungskraft abgelehnt, da Grundform eines Vogelbads nicht herkunftshinweisend.</w:t>
      </w:r>
    </w:p>
    <w:p>
      <w:pPr>
        <w:pStyle w:val="ListBullet"/>
      </w:pPr>
      <w:r>
        <w:t>EUIPO BoA R 1099/2019-4 (metallener Gartenzwerg): Unterscheidungskraft verneint, da die Gesamtgestaltung nicht erheblich vom üblichen Erscheinungsbild abwich.</w:t>
      </w:r>
    </w:p>
    <w:p>
      <w:pPr>
        <w:jc w:val="left"/>
      </w:pPr>
      <w:r>
        <w:t>Diese Entscheidungen zeigen, dass die Hürde hoch ist. Umso wichtiger ist es, die konkreten Besonderheiten der Leichtenstein-Rosenbluete klar herauszuarbeiten.</w:t>
      </w:r>
    </w:p>
    <w:p>
      <w:pPr>
        <w:pStyle w:val="Heading3"/>
      </w:pPr>
      <w:r>
        <w:rPr>
          <w:rFonts w:ascii="Times New Roman" w:hAnsi="Times New Roman"/>
        </w:rPr>
        <w:t>4.2 Relevante EuGH-Rechtsprechung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Sachverhalt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EuGH C-456/01 P (Henkel)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3D-Marken für Waschmittelkapseln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Erhöhte Anforderungen an Unterscheidungskraft für Formmarken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EuGH C-173/04 P (Storck)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Bonbonform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 erheblicher Abweichung vom Branchenüblichen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EuGH C-48/09 P (Lego)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Lego-Stein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 bedingte Formen nicht schutzfähig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EuGH C-205/13 (Hauck/Stokke)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Tripp-Trapp-Stuhl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Dreifacher Ausschlussgrund nach Art. 7 Abs. 1 lit. 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EuG T-508/08 (Bang &amp; Olufsen)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Lautsprecher-Form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Unterscheidungskraft bejaht bei ungewöhnlicher Gestaltung</w:t>
            </w:r>
          </w:p>
        </w:tc>
      </w:tr>
    </w:tbl>
    <w:p>
      <w:pPr>
        <w:jc w:val="left"/>
      </w:pPr>
      <w:r>
        <w:t>Die Bang &amp; Olufsen-Entscheidung (EuG T-508/08) ist besonders relevant: Das EuG hatte die 3D-Marke eines Lautsprechers für unterscheidungskräftig befunden, weil die konkrete Form sich deutlich von der technisch und ästhetisch üblichen Gestaltung abhob.</w:t>
      </w:r>
    </w:p>
    <w:p>
      <w:pPr>
        <w:pStyle w:val="Heading2"/>
      </w:pPr>
      <w:r>
        <w:rPr>
          <w:rFonts w:ascii="Times New Roman" w:hAnsi="Times New Roman"/>
        </w:rPr>
        <w:t>5. Fazit und Handlungsempfehlung</w:t>
      </w:r>
    </w:p>
    <w:p>
      <w:pPr>
        <w:jc w:val="left"/>
      </w:pPr>
      <w:r>
        <w:t>Die Verteidigung der Marke ist nach hier vertretener Auffassung aussichtsreich, erfordert aber eine sorgfältig aufgearbeitete Beschwerdegegenschrift mit folgenden Elementen:</w:t>
      </w:r>
    </w:p>
    <w:p>
      <w:pPr>
        <w:pStyle w:val="ListNumber"/>
      </w:pPr>
      <w:r>
        <w:rPr>
          <w:b/>
        </w:rPr>
        <w:t>Detaillierter Formvergleich</w:t>
      </w:r>
      <w:r>
        <w:t xml:space="preserve"> mit Wettbewerberprodukten (mind. 10 Vergleichsobjekte, fotodokumentiert)</w:t>
      </w:r>
    </w:p>
    <w:p>
      <w:pPr>
        <w:pStyle w:val="ListNumber"/>
      </w:pPr>
      <w:r>
        <w:rPr>
          <w:b/>
        </w:rPr>
        <w:t>Sachverständigengutachten</w:t>
      </w:r>
      <w:r>
        <w:t xml:space="preserve"> eines Markenrechtlers oder Designhistorikers zur Einordnung der Gestaltung im Marktumfeld</w:t>
      </w:r>
    </w:p>
    <w:p>
      <w:pPr>
        <w:pStyle w:val="ListNumber"/>
      </w:pPr>
      <w:r>
        <w:rPr>
          <w:b/>
        </w:rPr>
        <w:t>Hilfsweise: Nachweis der Verkehrsdurchsetzung</w:t>
      </w:r>
      <w:r>
        <w:t xml:space="preserve"> (demoskopisches Gutachten, Umsatznachweise, Presseberichte)</w:t>
      </w:r>
    </w:p>
    <w:p>
      <w:pPr>
        <w:pStyle w:val="ListNumber"/>
      </w:pPr>
      <w:r>
        <w:rPr>
          <w:b/>
        </w:rPr>
        <w:t>Hinweis auf die EUIPO-Erstentscheidung:</w:t>
      </w:r>
      <w:r>
        <w:t xml:space="preserve"> Der Board of Appeal darf von der Nichtigkeitsabteilung nur abweichen, wenn die Erstentscheidung offensichtlich fehlerhaft ist — das setzt eine hohe Schwelle.</w:t>
      </w:r>
    </w:p>
    <w:p>
      <w:pPr>
        <w:jc w:val="left"/>
      </w:pPr>
      <w:r>
        <w:t>Schriftsatz-Deadline: 15. Juli 2026. Angemessene Vorbereitungszeit: 6 Wochen.</w:t>
      </w:r>
    </w:p>
    <w:p/>
    <w:p>
      <w:pPr>
        <w:jc w:val="left"/>
      </w:pPr>
      <w:r>
        <w:rPr>
          <w:b/>
        </w:rPr>
        <w:t>Erstellt von:</w:t>
      </w:r>
      <w:r>
        <w:t xml:space="preserve"> PA Dr. Volkmar Trautmann</w:t>
      </w:r>
    </w:p>
    <w:p>
      <w:pPr>
        <w:jc w:val="left"/>
      </w:pPr>
      <w:r>
        <w:rPr>
          <w:b/>
        </w:rPr>
        <w:t>Datum:</w:t>
      </w:r>
      <w:r>
        <w:t xml:space="preserve"> 18. April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