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Einstweilige Verfügung: Antrag und Beschluss LG Mannheim</w:t>
      </w:r>
    </w:p>
    <w:p>
      <w:pPr>
        <w:jc w:val="left"/>
      </w:pPr>
      <w:r>
        <w:rPr>
          <w:b/>
        </w:rPr>
        <w:t>Bearbeiter:</w:t>
      </w:r>
      <w:r>
        <w:t xml:space="preserve"> RA Philipp Mertens-Waldhausen</w:t>
      </w:r>
    </w:p>
    <w:p>
      <w:pPr>
        <w:jc w:val="left"/>
      </w:pPr>
      <w:r>
        <w:rPr>
          <w:b/>
        </w:rPr>
        <w:t>Datum:</w:t>
      </w:r>
      <w:r>
        <w:t xml:space="preserve"> 22. April 2026 (Antrag) / 29. April 2026 (Beschluss)</w:t>
      </w:r>
    </w:p>
    <w:p>
      <w:pPr>
        <w:jc w:val="left"/>
      </w:pPr>
      <w:r>
        <w:rPr>
          <w:b/>
        </w:rPr>
        <w:t>Aktenzeichen:</w:t>
      </w:r>
      <w:r>
        <w:t xml:space="preserve"> LG Mannheim 7 O 88/26 (eV-Teil)</w:t>
      </w:r>
    </w:p>
    <w:p>
      <w:pPr>
        <w:jc w:val="left"/>
      </w:pPr>
      <w:r>
        <w:rPr>
          <w:b/>
        </w:rPr>
        <w:t>Kammer:</w:t>
      </w:r>
      <w:r>
        <w:t xml:space="preserve"> 7. Kammer für Handelssachen</w:t>
      </w:r>
    </w:p>
    <w:p/>
    <w:p>
      <w:pPr>
        <w:pStyle w:val="Heading2"/>
      </w:pPr>
      <w:r>
        <w:rPr>
          <w:rFonts w:ascii="Times New Roman" w:hAnsi="Times New Roman"/>
        </w:rPr>
        <w:t>1. Ausgangslage und Dringlichkeit</w:t>
      </w:r>
    </w:p>
    <w:p>
      <w:pPr>
        <w:jc w:val="left"/>
      </w:pPr>
      <w:r>
        <w:t>Nachdem der Verletzungssachverhalt am 10. April 2026 dokumentiert und die Verletzungsanalyse am 19. April 2026 abgeschlossen wurde, erteilte die Mandantin am 21. April 2026 ausdrücklich den Auftrag zur Einleitung des einstweiligen Verfügungsverfahrens. Der Antrag wurde am 22. April 2026, 09:20 Uhr, beim LG Mannheim eingereicht.</w:t>
      </w:r>
    </w:p>
    <w:p>
      <w:pPr>
        <w:jc w:val="left"/>
      </w:pPr>
      <w:r>
        <w:rPr>
          <w:b/>
        </w:rPr>
        <w:t>Dringlichkeit:</w:t>
      </w:r>
      <w:r>
        <w:t xml:space="preserve"> Bei Markenrechtsverletzungen gilt nach der Rechtsprechung des BGH und der meisten OLGs eine Regelvermutung der Dringlichkeit, solange der Gläubiger nicht längere Zeit untätig geblieben ist (vgl. BGH GRUR 2000, 151 — Späte Stellung des Antrags). Hier lagen nur zwölf Tage zwischen Entdeckung der Verletzung (10. April) und Antragseinreichung (22. April 2026). Die Dringlichkeit ist damit ohne Weiteres gegeben.</w:t>
      </w:r>
    </w:p>
    <w:p>
      <w:pPr>
        <w:pStyle w:val="Heading2"/>
      </w:pPr>
      <w:r>
        <w:rPr>
          <w:rFonts w:ascii="Times New Roman" w:hAnsi="Times New Roman"/>
        </w:rPr>
        <w:t>2. Der eV-Antrag (Zusammenfassung)</w:t>
      </w:r>
    </w:p>
    <w:p>
      <w:pPr>
        <w:pStyle w:val="Heading3"/>
      </w:pPr>
      <w:r>
        <w:rPr>
          <w:rFonts w:ascii="Times New Roman" w:hAnsi="Times New Roman"/>
        </w:rPr>
        <w:t>2.1 Antragstellerin</w:t>
      </w:r>
    </w:p>
    <w:p>
      <w:pPr>
        <w:jc w:val="left"/>
      </w:pPr>
      <w:r>
        <w:t>Leichtenstein Gartenkultur Manufaktur GmbH, Neckarstraße 118, 69412 Eberbach am Neckar</w:t>
      </w:r>
    </w:p>
    <w:p>
      <w:pPr>
        <w:jc w:val="left"/>
      </w:pPr>
      <w:r>
        <w:t>(vertreten durch Dr. Volkmar Trautmann &amp; Coll.)</w:t>
      </w:r>
    </w:p>
    <w:p>
      <w:pPr>
        <w:pStyle w:val="Heading3"/>
      </w:pPr>
      <w:r>
        <w:rPr>
          <w:rFonts w:ascii="Times New Roman" w:hAnsi="Times New Roman"/>
        </w:rPr>
        <w:t>2.2 Antragsgegnerin</w:t>
      </w:r>
    </w:p>
    <w:p>
      <w:pPr>
        <w:jc w:val="left"/>
      </w:pPr>
      <w:r>
        <w:t>FlowerWorld AG, Alsterchaussee 112, 20149 Hamburg</w:t>
      </w:r>
    </w:p>
    <w:p>
      <w:pPr>
        <w:jc w:val="left"/>
      </w:pPr>
      <w:r>
        <w:t>(Zustellanschrift: FlowerWorld AG, c/o Niederlassung Mannheim, Friedrichsring 4, 68161 Mannheim)</w:t>
      </w:r>
    </w:p>
    <w:p>
      <w:pPr>
        <w:pStyle w:val="Heading3"/>
      </w:pPr>
      <w:r>
        <w:rPr>
          <w:rFonts w:ascii="Times New Roman" w:hAnsi="Times New Roman"/>
        </w:rPr>
        <w:t>2.3 Anträge</w:t>
      </w:r>
    </w:p>
    <w:p>
      <w:pPr>
        <w:jc w:val="left"/>
      </w:pPr>
      <w:r>
        <w:t>Die Antragstellerin hat beantragt, der Antragsgegnerin im Wege der einstweiligen Verfügung zu untersagen, im geschäftlichen Verkehr in der Bundesrepublik Deutschland und in der Europäischen Union</w:t>
      </w:r>
    </w:p>
    <w:p>
      <w:pPr>
        <w:pStyle w:val="ListNumber"/>
      </w:pPr>
      <w:r>
        <w:t>die dreidimensionale Gestaltung einer Gartendekoration in Form einer Rosenbluete mit einem Blütenkopfdurchmesser von ca. 18 cm, einem S-förmig geschwungenen Stielschaft von ca. 40 cm Länge sowie einer einfachen Blattattrappe auf halber Höhe des Schaftes (Produkt: „Garden Rose Bloom", Artikel-Nr. FW-GRB-2026-AL, EAN 4 017 600 188 372) anzubieten, in den Verkehr zu bringen, zu bewerben oder einzuführen,</w:t>
      </w:r>
    </w:p>
    <w:p>
      <w:pPr>
        <w:pStyle w:val="ListNumber"/>
      </w:pPr>
      <w:r>
        <w:t>für den Fall der Zuwiderhandlung ein Ordnungsgeld bis zu 250.000 EUR, ersatzweise Ordnungshaft bis zu sechs Monaten, oder Ordnungshaft bis zu sechs Monaten, zu vollziehen an den Vorstandsmitgliedern, anzudrohen.</w:t>
      </w:r>
    </w:p>
    <w:p>
      <w:pPr>
        <w:pStyle w:val="Heading3"/>
      </w:pPr>
      <w:r>
        <w:rPr>
          <w:rFonts w:ascii="Times New Roman" w:hAnsi="Times New Roman"/>
        </w:rPr>
        <w:t>2.4 Glaubhaftmachung</w:t>
      </w:r>
    </w:p>
    <w:p>
      <w:pPr>
        <w:jc w:val="left"/>
      </w:pPr>
      <w:r>
        <w:t>Zur Glaubhaftmachung wurden eingereicht:</w:t>
      </w:r>
    </w:p>
    <w:p>
      <w:pPr>
        <w:pStyle w:val="ListBullet"/>
      </w:pPr>
      <w:r>
        <w:t>Eidesstattliche Versicherung Franz-Josef Kellner (Testkauf Heidelberg, 10. April 2026)</w:t>
      </w:r>
    </w:p>
    <w:p>
      <w:pPr>
        <w:pStyle w:val="ListBullet"/>
      </w:pPr>
      <w:r>
        <w:t>Eidesstattliche Versicherung RA Mertens-Waldhausen (Testkauf Mannheim-Neckarau, 13. April 2026; Online-Kauf 14. April 2026)</w:t>
      </w:r>
    </w:p>
    <w:p>
      <w:pPr>
        <w:pStyle w:val="ListBullet"/>
      </w:pPr>
      <w:r>
        <w:t>Produktfotos (16 Fotos, Anlage C-1 bis C-4)</w:t>
      </w:r>
    </w:p>
    <w:p>
      <w:pPr>
        <w:pStyle w:val="ListBullet"/>
      </w:pPr>
      <w:r>
        <w:t>Beglaubigte Kopie des EUIPO-Registerauszugs (Anlage D-1)</w:t>
      </w:r>
    </w:p>
    <w:p>
      <w:pPr>
        <w:pStyle w:val="ListBullet"/>
      </w:pPr>
      <w:r>
        <w:t>Auszug EUIPO-Datenbank (Eintragungsdaten, Anlage D-2)</w:t>
      </w:r>
    </w:p>
    <w:p>
      <w:pPr>
        <w:pStyle w:val="Heading3"/>
      </w:pPr>
      <w:r>
        <w:rPr>
          <w:rFonts w:ascii="Times New Roman" w:hAnsi="Times New Roman"/>
        </w:rPr>
        <w:t>2.5 Verfügungsanspruch</w:t>
      </w:r>
    </w:p>
    <w:p>
      <w:pPr>
        <w:jc w:val="left"/>
      </w:pPr>
      <w:r>
        <w:t>Rechtsgrundlage: § 14 Abs. 2 Nr. 2 MarkenG i.V.m. Art. 9 Abs. 2 lit. b UMV. Gemäß der Verletzungsanalyse (vgl. Aktenstück 04) liegt eine Verwechslungsgefahr mit der EU-3D-Marke 018 977 412 vor. Zur näheren Begründung wurde auf die Antragsschrift (42 Seiten) verwiesen.</w:t>
      </w:r>
    </w:p>
    <w:p>
      <w:pPr>
        <w:pStyle w:val="Heading3"/>
      </w:pPr>
      <w:r>
        <w:rPr>
          <w:rFonts w:ascii="Times New Roman" w:hAnsi="Times New Roman"/>
        </w:rPr>
        <w:t>2.6 Verfügungsgrund</w:t>
      </w:r>
    </w:p>
    <w:p>
      <w:pPr>
        <w:jc w:val="left"/>
      </w:pPr>
      <w:r>
        <w:t>Die Dringlichkeit wird durch die zeitnahe Reaktion der Antragstellerin glaubhaft gemacht. Bei Markenverletzungen im stationären und Online-Handel besteht eine täglich steigende Schadensposition; jede Woche weiteren Vertriebs führt zu weiterem Umsatzverlust und weiterer Verwässerung des Schutzrechts.</w:t>
      </w:r>
    </w:p>
    <w:p>
      <w:pPr>
        <w:pStyle w:val="Heading2"/>
      </w:pPr>
      <w:r>
        <w:rPr>
          <w:rFonts w:ascii="Times New Roman" w:hAnsi="Times New Roman"/>
        </w:rPr>
        <w:t>3. Beschluss des LG Mannheim vom 29. April 2026</w:t>
      </w:r>
    </w:p>
    <w:p>
      <w:pPr>
        <w:jc w:val="left"/>
      </w:pPr>
      <w:r>
        <w:t>Das LG Mannheim, 7. Kammer für Handelssachen, Vorsitzende Richterin Dr. Angelika Fleischer-Noll, erließ am 29. April 2026 (Az. 7 O 88/26) die beantragte einstweilige Verfügung ohne mündliche Verhandlung (§ 937 Abs. 2 ZPO).</w:t>
      </w:r>
    </w:p>
    <w:p>
      <w:pPr>
        <w:pStyle w:val="Heading3"/>
      </w:pPr>
      <w:r>
        <w:rPr>
          <w:rFonts w:ascii="Times New Roman" w:hAnsi="Times New Roman"/>
        </w:rPr>
        <w:t>3.1 Tenor des Beschlusses (Auszug)</w:t>
      </w:r>
    </w:p>
    <w:p>
      <w:pPr>
        <w:ind w:left="567"/>
      </w:pPr>
      <w:r>
        <w:rPr>
          <w:b/>
          <w:i/>
        </w:rPr>
        <w:t>I.</w:t>
      </w:r>
      <w:r>
        <w:rPr>
          <w:i/>
        </w:rPr>
        <w:t xml:space="preserve"> Der Antragsgegnerin wird im Wege der einstweiligen Verfügung — der Dringlichkeit halber ohne mündliche Verhandlung —</w:t>
      </w:r>
    </w:p>
    <w:p>
      <w:pPr>
        <w:ind w:left="567"/>
      </w:pPr>
    </w:p>
    <w:p>
      <w:pPr>
        <w:ind w:left="567"/>
      </w:pPr>
      <w:r>
        <w:rPr>
          <w:b/>
          <w:i/>
        </w:rPr>
        <w:t>untersagt,</w:t>
      </w:r>
    </w:p>
    <w:p>
      <w:pPr>
        <w:ind w:left="567"/>
      </w:pPr>
    </w:p>
    <w:p>
      <w:pPr>
        <w:ind w:left="567"/>
      </w:pPr>
      <w:r>
        <w:rPr>
          <w:i/>
        </w:rPr>
        <w:t>im geschäftlichen Verkehr in der Bundesrepublik Deutschland und in der Europäischen Union die dreidimensionale Gestaltung einer Gartendekoration in Form einer Rosenbluete mit einem Blütenkopfdurchmesser von ca. 18 cm, einem S-förmig geschwungenen Stielschaft von ca. 40 cm Länge sowie einer einfachen Blattattrappe auf halber Höhe des Schaftes (Produkt: „Garden Rose Bloom", Artikel-Nr. FW-GRB-2026-AL, EAN 4 017 600 188 372) anzubieten, in den Verkehr zu bringen, zu bewerben oder einzuführen,</w:t>
      </w:r>
    </w:p>
    <w:p>
      <w:pPr>
        <w:ind w:left="567"/>
      </w:pPr>
    </w:p>
    <w:p>
      <w:pPr>
        <w:ind w:left="567"/>
      </w:pPr>
      <w:r>
        <w:rPr>
          <w:b/>
          <w:i/>
        </w:rPr>
        <w:t>sofern nicht</w:t>
      </w:r>
      <w:r>
        <w:rPr>
          <w:i/>
        </w:rPr>
        <w:t xml:space="preserve"> die Antragsgegnerin zuvor die schriftliche Genehmigung der Antragstellerin eingeholt hat.</w:t>
      </w:r>
    </w:p>
    <w:p>
      <w:pPr>
        <w:ind w:left="567"/>
      </w:pPr>
    </w:p>
    <w:p>
      <w:pPr>
        <w:ind w:left="567"/>
      </w:pPr>
      <w:r>
        <w:rPr>
          <w:b/>
          <w:i/>
        </w:rPr>
        <w:t>II.</w:t>
      </w:r>
      <w:r>
        <w:rPr>
          <w:i/>
        </w:rPr>
        <w:t xml:space="preserve"> Der Antragsgegnerin wird für jeden Fall der Zuwiderhandlung ein Ordnungsgeld bis zu 250.000,00 EUR, ersatzweise Ordnungshaft bis zu sechs Monaten, oder Ordnungshaft bis zu sechs Monaten, zu vollziehen an den Mitgliedern des Vorstands, angedroht.</w:t>
      </w:r>
    </w:p>
    <w:p>
      <w:pPr>
        <w:ind w:left="567"/>
      </w:pPr>
    </w:p>
    <w:p>
      <w:pPr>
        <w:ind w:left="567"/>
      </w:pPr>
      <w:r>
        <w:rPr>
          <w:b/>
          <w:i/>
        </w:rPr>
        <w:t>III.</w:t>
      </w:r>
      <w:r>
        <w:rPr>
          <w:i/>
        </w:rPr>
        <w:t xml:space="preserve"> Die Kosten des Verfahrens trägt die Antragsgegnerin.</w:t>
      </w:r>
    </w:p>
    <w:p>
      <w:pPr>
        <w:ind w:left="567"/>
      </w:pPr>
    </w:p>
    <w:p>
      <w:pPr>
        <w:ind w:left="567"/>
      </w:pPr>
      <w:r>
        <w:rPr>
          <w:b/>
          <w:i/>
        </w:rPr>
        <w:t>IV.</w:t>
      </w:r>
      <w:r>
        <w:rPr>
          <w:i/>
        </w:rPr>
        <w:t xml:space="preserve"> Der Streitwert wird auf 250.000,00 EUR festgesetzt.</w:t>
      </w:r>
    </w:p>
    <w:p>
      <w:pPr>
        <w:pStyle w:val="Heading3"/>
      </w:pPr>
      <w:r>
        <w:rPr>
          <w:rFonts w:ascii="Times New Roman" w:hAnsi="Times New Roman"/>
        </w:rPr>
        <w:t>3.2 Begründung des Gerichts (Zusammenfassung)</w:t>
      </w:r>
    </w:p>
    <w:p>
      <w:pPr>
        <w:jc w:val="left"/>
      </w:pPr>
      <w:r>
        <w:t>Das Gericht folgte der Argumentation der Antragstellerin vollumfänglich. Zur Verwechslungsgefahr führte das Gericht aus, dass der Verbraucher beim Anblick des FlowerWorld-Produkts angesichts der nahezu identischen Proportionen und Formmerkmale unwillkürlich an die Leichtenstein-Rosenbluete erinnert werde. Der Umstand, dass das Verletzungsprodukt aus Aluminium gefertigt sei, ändere an der Verwechslungsgefahr nichts, da maßgeblich die Formgestaltung der eingetragenen 3D-Marke sei.</w:t>
      </w:r>
    </w:p>
    <w:p>
      <w:pPr>
        <w:jc w:val="left"/>
      </w:pPr>
      <w:r>
        <w:t>Das Gericht ließ die Frage der Wirksamkeit der Marke im Hinblick auf den anhängigen Nichtigkeitsantrag ausdrücklich offen, da die eingetragene Marke bis zu einer rechtskräftigen Löschungsentscheidung voll wirksam ist (Art. 62 Abs. 2 UMV).</w:t>
      </w:r>
    </w:p>
    <w:p>
      <w:pPr>
        <w:pStyle w:val="Heading2"/>
      </w:pPr>
      <w:r>
        <w:rPr>
          <w:rFonts w:ascii="Times New Roman" w:hAnsi="Times New Roman"/>
        </w:rPr>
        <w:t>4. Vollziehung der einstweiligen Verfügung</w:t>
      </w:r>
    </w:p>
    <w:p>
      <w:pPr>
        <w:pStyle w:val="Heading3"/>
      </w:pPr>
      <w:r>
        <w:rPr>
          <w:rFonts w:ascii="Times New Roman" w:hAnsi="Times New Roman"/>
        </w:rPr>
        <w:t>4.1 Zustellung und Vollziehungsfrist</w:t>
      </w:r>
    </w:p>
    <w:p>
      <w:pPr>
        <w:jc w:val="left"/>
      </w:pPr>
      <w:r>
        <w:t>Die einstweilige Verfügung wurde der Antragsgegnerin am 30. April 2026 durch Gerichtsvollzieher zugestellt (Zustellungsnachweis: Anlage E-1). Die Vollziehungsfrist von einem Monat nach Zustellung an den Gläubiger (§ 929 Abs. 2 ZPO) wurde damit gewahrt.</w:t>
      </w:r>
    </w:p>
    <w:p>
      <w:pPr>
        <w:pStyle w:val="Heading3"/>
      </w:pPr>
      <w:r>
        <w:rPr>
          <w:rFonts w:ascii="Times New Roman" w:hAnsi="Times New Roman"/>
        </w:rPr>
        <w:t>4.2 Reaktion FlowerWorld AG</w:t>
      </w:r>
    </w:p>
    <w:p>
      <w:pPr>
        <w:jc w:val="left"/>
      </w:pPr>
      <w:r>
        <w:t>Mit Schreiben vom 04. Mai 2026 legte die FlowerWorld AG, vertreten durch Rechtsanwälte Klingenberg Brauer &amp; Partner, Hamburg, Widerspruch gegen die einstweilige Verfügung ein (§ 924 ZPO). Zur Begründung des Widerspruchs führte FlowerWorld aus:</w:t>
      </w:r>
    </w:p>
    <w:p>
      <w:pPr>
        <w:pStyle w:val="ListNumber"/>
      </w:pPr>
      <w:r>
        <w:t>Keine Verwechslungsgefahr, da Rosenformen im Gartendeko-Segment generisch seien.</w:t>
      </w:r>
    </w:p>
    <w:p>
      <w:pPr>
        <w:pStyle w:val="ListNumber"/>
      </w:pPr>
      <w:r>
        <w:t>Die EU-3D-Marke sei nicht unterscheidungskräftig; die ausstehende EUIPO-Entscheidung sei abzuwarten.</w:t>
      </w:r>
    </w:p>
    <w:p>
      <w:pPr>
        <w:pStyle w:val="ListNumber"/>
      </w:pPr>
      <w:r>
        <w:t>Schutzrechtserschöpfung (§ 24 MarkenG) für online bereits gekaufte Exemplare.</w:t>
      </w:r>
    </w:p>
    <w:p>
      <w:pPr>
        <w:pStyle w:val="Heading3"/>
      </w:pPr>
      <w:r>
        <w:rPr>
          <w:rFonts w:ascii="Times New Roman" w:hAnsi="Times New Roman"/>
        </w:rPr>
        <w:t>4.3 Mündliche Verhandlung im Widerspruchsverfahren</w:t>
      </w:r>
    </w:p>
    <w:p>
      <w:pPr>
        <w:jc w:val="left"/>
      </w:pPr>
      <w:r>
        <w:t>Das LG Mannheim hat Termin zur mündlichen Verhandlung über den Widerspruch auf den 08. Juli 2026 bestimmt. Zur Vorbereitung vgl. Aktenstück 20 (Prozesstaktik).</w:t>
      </w:r>
    </w:p>
    <w:p>
      <w:pPr>
        <w:pStyle w:val="Heading2"/>
      </w:pPr>
      <w:r>
        <w:rPr>
          <w:rFonts w:ascii="Times New Roman" w:hAnsi="Times New Roman"/>
        </w:rPr>
        <w:t>5. Ausblick</w:t>
      </w:r>
    </w:p>
    <w:p>
      <w:pPr>
        <w:jc w:val="left"/>
      </w:pPr>
      <w:r>
        <w:t>Das eV-Verfahren hat seine wesentliche Wirkung entfaltet: FlowerWorld AG hat die Lieferung des Produkts an alle Filialen vorläufig gestoppt (Selbstauskunft per E-Mail vom 06. Mai 2026). Der Online-Shop zeigt das Produkt als „vorübergehend nicht verfügbar" an. Die Verhandlungen über eine dauerhafte außergerichtliche Lösung laufen parallel (vgl. Aktenstück 19).</w:t>
      </w:r>
    </w:p>
    <w:p/>
    <w:p>
      <w:pPr>
        <w:jc w:val="left"/>
      </w:pPr>
      <w:r>
        <w:rPr>
          <w:b/>
        </w:rPr>
        <w:t>Erstellt von:</w:t>
      </w:r>
      <w:r>
        <w:t xml:space="preserve"> RA Philipp Mertens-Waldhausen</w:t>
      </w:r>
    </w:p>
    <w:p>
      <w:pPr>
        <w:jc w:val="left"/>
      </w:pPr>
      <w:r>
        <w:rPr>
          <w:b/>
        </w:rPr>
        <w:t>Geprüft:</w:t>
      </w:r>
      <w:r>
        <w:t xml:space="preserve"> PA Dr. Volkmar Trautmann</w:t>
      </w:r>
    </w:p>
    <w:p>
      <w:pPr>
        <w:jc w:val="left"/>
      </w:pPr>
      <w:r>
        <w:rPr>
          <w:b/>
        </w:rPr>
        <w:t>Datum:</w:t>
      </w:r>
      <w:r>
        <w:t xml:space="preserve"> 30.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