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06 — Klagebegründung: Markenverletzungsklage LG Mannheim 7 O 88/26</w:t>
      </w:r>
    </w:p>
    <w:p>
      <w:pPr>
        <w:jc w:val="left"/>
      </w:pPr>
      <w:r>
        <w:rPr>
          <w:b/>
        </w:rPr>
        <w:t>Bearbeiter:</w:t>
      </w:r>
      <w:r>
        <w:t xml:space="preserve"> RA Philipp Mertens-Waldhausen</w:t>
      </w:r>
    </w:p>
    <w:p>
      <w:pPr>
        <w:jc w:val="left"/>
      </w:pPr>
      <w:r>
        <w:rPr>
          <w:b/>
        </w:rPr>
        <w:t>Datum:</w:t>
      </w:r>
      <w:r>
        <w:t xml:space="preserve"> 12. Mai 2026</w:t>
      </w:r>
    </w:p>
    <w:p>
      <w:pPr>
        <w:jc w:val="left"/>
      </w:pPr>
      <w:r>
        <w:rPr>
          <w:b/>
        </w:rPr>
        <w:t>Aktenzeichen:</w:t>
      </w:r>
      <w:r>
        <w:t xml:space="preserve"> LG Mannheim 7 O 88/26</w:t>
      </w:r>
    </w:p>
    <w:p>
      <w:pPr>
        <w:jc w:val="left"/>
      </w:pPr>
      <w:r>
        <w:rPr>
          <w:b/>
        </w:rPr>
        <w:t>Kammer:</w:t>
      </w:r>
      <w:r>
        <w:t xml:space="preserve"> 7. Kammer für Handelssachen, Vorsitzende Richterin Dr. Angelika Fleischer-Noll</w:t>
      </w:r>
    </w:p>
    <w:p/>
    <w:p>
      <w:pPr>
        <w:pStyle w:val="Heading2"/>
      </w:pPr>
      <w:r>
        <w:rPr>
          <w:rFonts w:ascii="Times New Roman" w:hAnsi="Times New Roman"/>
        </w:rPr>
        <w:t>1. Klageziel und Verfahrensüberblick</w:t>
      </w:r>
    </w:p>
    <w:p>
      <w:pPr>
        <w:jc w:val="left"/>
      </w:pPr>
      <w:r>
        <w:t>Die Hauptsacheklage wurde am 05. Mai 2026 erhoben, zeitgleich mit Erwiderung auf den Widerspruch von FlowerWorld AG gegen die einstweilige Verfügung. Das LG Mannheim hat das Verfahren unter dem Aktenzeichen 7 O 88/26 geführt. Das vorliegende Aktenstück dokumentiert die wesentlichen Inhalte der Klageschrift und Klagebegründung (vollständige Schriftsatzdokument vgl. docx/schriftsatz_klage_markenverletzung_lg_mannheim.docx).</w:t>
      </w:r>
    </w:p>
    <w:p>
      <w:pPr>
        <w:pStyle w:val="Heading2"/>
      </w:pPr>
      <w:r>
        <w:rPr>
          <w:rFonts w:ascii="Times New Roman" w:hAnsi="Times New Roman"/>
        </w:rPr>
        <w:t>2. Parteien</w:t>
      </w:r>
    </w:p>
    <w:p>
      <w:pPr>
        <w:jc w:val="left"/>
      </w:pPr>
      <w:r>
        <w:rPr>
          <w:b/>
        </w:rPr>
        <w:t>Klägerin:</w:t>
      </w:r>
      <w:r>
        <w:t xml:space="preserve"> Leichtenstein Gartenkultur Manufaktur GmbH, Neckarstraße 118, 69412 Eberbach am Neckar, vertreten durch GF Reinhilde Leichtenstein-Bauernfeind</w:t>
      </w:r>
    </w:p>
    <w:p>
      <w:pPr>
        <w:jc w:val="left"/>
      </w:pPr>
      <w:r>
        <w:rPr>
          <w:b/>
        </w:rPr>
        <w:t>Beklagte:</w:t>
      </w:r>
      <w:r>
        <w:t xml:space="preserve"> FlowerWorld AG, Alsterchaussee 112, 20149 Hamburg, vertreten durch den Vorstand Lars Dittmann-Sörensen und Britta Halmenschlager</w:t>
      </w:r>
    </w:p>
    <w:p>
      <w:pPr>
        <w:jc w:val="left"/>
      </w:pPr>
      <w:r>
        <w:rPr>
          <w:b/>
        </w:rPr>
        <w:t>Prozessbevollmächtigte Klägerin:</w:t>
      </w:r>
      <w:r>
        <w:t xml:space="preserve"> Kanzlei Dr. Volkmar Trautmann &amp; Coll., Q 7 15, 68161 Mannheim</w:t>
      </w:r>
    </w:p>
    <w:p>
      <w:pPr>
        <w:pStyle w:val="Heading2"/>
      </w:pPr>
      <w:r>
        <w:rPr>
          <w:rFonts w:ascii="Times New Roman" w:hAnsi="Times New Roman"/>
        </w:rPr>
        <w:t>3. Streitgegenstand und vorläufiger Streitwert</w:t>
      </w:r>
    </w:p>
    <w:p>
      <w:pPr>
        <w:jc w:val="left"/>
      </w:pPr>
      <w:r>
        <w:t>Streitgegenstand ist die Verletzung der EU-3D-Marke EUIPO Nr. 018 977 412 durch das Produkt „Garden Rose Bloom" (Artikel-Nr. FW-GRB-2026-AL). Der Streitwert wurde vorläufig auf 500.000 EUR festgesetzt, vorbehaltlich der noch ausstehenden Auskunft der Beklagten über tatsächlich erzielte Umsätze.</w:t>
      </w:r>
    </w:p>
    <w:p>
      <w:pPr>
        <w:pStyle w:val="Heading2"/>
      </w:pPr>
      <w:r>
        <w:rPr>
          <w:rFonts w:ascii="Times New Roman" w:hAnsi="Times New Roman"/>
        </w:rPr>
        <w:t>4. Klageanträge (vollständig)</w:t>
      </w:r>
    </w:p>
    <w:p>
      <w:pPr>
        <w:jc w:val="left"/>
      </w:pPr>
      <w:r>
        <w:t>Die Klägerin beantragt:</w:t>
      </w:r>
    </w:p>
    <w:p>
      <w:pPr>
        <w:jc w:val="left"/>
      </w:pPr>
      <w:r>
        <w:rPr>
          <w:b/>
        </w:rPr>
        <w:t>Hauptanträge:</w:t>
      </w:r>
    </w:p>
    <w:p>
      <w:pPr>
        <w:jc w:val="left"/>
      </w:pPr>
      <w:r>
        <w:rPr>
          <w:b/>
        </w:rPr>
        <w:t>I.</w:t>
      </w:r>
      <w:r>
        <w:t xml:space="preserve"> Die Beklagte wird verurteilt, es bei Meidung eines für jeden Fall der Zuwiderhandlung festzusetzenden Ordnungsgeldes bis zu 250.000 EUR, ersatzweise Ordnungshaft bis zu sechs Monaten, oder Ordnungshaft bis zu sechs Monaten, zu vollziehen an den Mitgliedern des Vorstands, zu unterlassen, im geschäftlichen Verkehr die dreidimensionale Gestaltung einer Gartendekoration in Form einer Rosenbluete mit einem Blütenkopfdurchmesser von ca. 18 cm, einem S-förmig geschwungenen Stielschaft von ca. 40 cm Länge sowie einer einfachen Blattattrappe auf halber Höhe des Schaftes (Produkt „Garden Rose Bloom", EAN 4 017 600 188 372) oder mit der EU-3D-Marke 018 977 412 verwechselbar ähnliche Gestaltungen anzubieten, in den Verkehr zu bringen, zu bewerben oder zu importieren.</w:t>
      </w:r>
    </w:p>
    <w:p>
      <w:pPr>
        <w:jc w:val="left"/>
      </w:pPr>
      <w:r>
        <w:rPr>
          <w:b/>
        </w:rPr>
        <w:t>II.</w:t>
      </w:r>
      <w:r>
        <w:t xml:space="preserve"> Die Beklagte wird verurteilt, der Klägerin vollständige Auskunft zu erteilen und Rechnung zu legen über:</w:t>
      </w:r>
    </w:p>
    <w:p>
      <w:pPr>
        <w:jc w:val="left"/>
      </w:pPr>
      <w:r>
        <w:t>a) Herkunft und Vertriebswege des Verletzungsgegenstands, insbesondere Name und Anschrift des Herstellers, der Lieferanten, der gewerblichen Abnehmer und der Auftraggeber,</w:t>
      </w:r>
    </w:p>
    <w:p>
      <w:pPr>
        <w:jc w:val="left"/>
      </w:pPr>
      <w:r>
        <w:t>b) Art und Umfang der Benutzungshandlungen, insbesondere über Zeitraum, Mengen und Preise des Angebots, des Verkaufs und der Lieferung des Verletzungsgegenstands sowie über den erzielten Gewinn,</w:t>
      </w:r>
    </w:p>
    <w:p>
      <w:pPr>
        <w:jc w:val="left"/>
      </w:pPr>
      <w:r>
        <w:t>c) Kosten für Einkauf, Transport, Lagerung, Vertrieb und Werbung des Verletzungsgegenstands.</w:t>
      </w:r>
    </w:p>
    <w:p>
      <w:pPr>
        <w:jc w:val="left"/>
      </w:pPr>
      <w:r>
        <w:rPr>
          <w:b/>
        </w:rPr>
        <w:t>III.</w:t>
      </w:r>
      <w:r>
        <w:t xml:space="preserve"> Die Beklagte wird verurteilt, die in ihrem Besitz oder Eigentum befindlichen Exemplare des Verletzungsgegenstands an die Klägerin zur Vernichtung herauszugeben oder auf eigene Kosten zu vernichten.</w:t>
      </w:r>
    </w:p>
    <w:p>
      <w:pPr>
        <w:jc w:val="left"/>
      </w:pPr>
      <w:r>
        <w:rPr>
          <w:b/>
        </w:rPr>
        <w:t>IV.</w:t>
      </w:r>
      <w:r>
        <w:t xml:space="preserve"> Die Beklagte wird verurteilt, die bei Vertriebspartnern, Abnehmern und im Handel befindlichen Exemplare des Verletzungsgegenstands zurückzurufen und aus dem Verkehr zu ziehen.</w:t>
      </w:r>
    </w:p>
    <w:p>
      <w:pPr>
        <w:jc w:val="left"/>
      </w:pPr>
      <w:r>
        <w:rPr>
          <w:b/>
        </w:rPr>
        <w:t>V.</w:t>
      </w:r>
      <w:r>
        <w:t xml:space="preserve"> Es wird festgestellt, dass die Beklagte verpflichtet ist, der Klägerin allen durch die unter I. beschriebenen Handlungen entstandenen und noch entstehenden Schaden zu ersetzen, zuzüglich Zinsen in Höhe von neun Prozentpunkten über dem Basiszinssatz ab Rechtshängigkeit.</w:t>
      </w:r>
    </w:p>
    <w:p>
      <w:pPr>
        <w:jc w:val="left"/>
      </w:pPr>
      <w:r>
        <w:rPr>
          <w:b/>
        </w:rPr>
        <w:t>VI.</w:t>
      </w:r>
      <w:r>
        <w:t xml:space="preserve"> Die Beklagte trägt die Kosten des Rechtsstreits.</w:t>
      </w:r>
    </w:p>
    <w:p>
      <w:pPr>
        <w:jc w:val="left"/>
      </w:pPr>
      <w:r>
        <w:rPr>
          <w:b/>
        </w:rPr>
        <w:t>Hilfsanträge:</w:t>
      </w:r>
    </w:p>
    <w:p>
      <w:pPr>
        <w:jc w:val="left"/>
      </w:pPr>
      <w:r>
        <w:t>Für den Fall, dass die EU-3D-Marke 018 977 412 für nichtig erklärt werden sollte, stützt die Klägerin ihre Ansprüche hilfsweise auf:</w:t>
      </w:r>
    </w:p>
    <w:p>
      <w:pPr>
        <w:pStyle w:val="ListBullet"/>
      </w:pPr>
      <w:r>
        <w:t>§ 14 Abs. 2 Nr. 2 MarkenG i.V.m. DE-Marke DPMA 30 2026 011 442</w:t>
      </w:r>
    </w:p>
    <w:p>
      <w:pPr>
        <w:pStyle w:val="ListBullet"/>
      </w:pPr>
      <w:r>
        <w:t>§§ 3, 4 Nr. 3 UWG (sklavische Nachahmung) i.V.m. § 8 UWG</w:t>
      </w:r>
    </w:p>
    <w:p>
      <w:pPr>
        <w:pStyle w:val="ListBullet"/>
      </w:pPr>
      <w:r>
        <w:t>§§ 823, 1004 BGB (Eingriff in eingerichteten und ausgeübten Gewerbebetrieb)</w:t>
      </w:r>
    </w:p>
    <w:p>
      <w:pPr>
        <w:pStyle w:val="Heading2"/>
      </w:pPr>
      <w:r>
        <w:rPr>
          <w:rFonts w:ascii="Times New Roman" w:hAnsi="Times New Roman"/>
        </w:rPr>
        <w:t>5. Tatsächliche Grundlagen der Klagebegründung</w:t>
      </w:r>
    </w:p>
    <w:p>
      <w:pPr>
        <w:pStyle w:val="Heading3"/>
      </w:pPr>
      <w:r>
        <w:rPr>
          <w:rFonts w:ascii="Times New Roman" w:hAnsi="Times New Roman"/>
        </w:rPr>
        <w:t>5.1 Zur Inhaberschaft der Marke</w:t>
      </w:r>
    </w:p>
    <w:p>
      <w:pPr>
        <w:jc w:val="left"/>
      </w:pPr>
      <w:r>
        <w:t>Die Klägerin ist als Inhaberin der EU-3D-Marke 018 977 412 im EUIPO-Register eingetragen (Anlage K 1: Registerauszug). Die Marke ist eingetragen und wurde nicht übertragen. Lizenzen wurden ausschließlich an Fonderie Roussel SAS für das Gebiet Frankreich und Benelux erteilt; dieser Lizenzvertrag ist zwischenzeitlich gekündigt worden und berechtigt Fonderie Roussel jedenfalls nicht zum Vertrieb in Deutschland.</w:t>
      </w:r>
    </w:p>
    <w:p>
      <w:pPr>
        <w:pStyle w:val="Heading3"/>
      </w:pPr>
      <w:r>
        <w:rPr>
          <w:rFonts w:ascii="Times New Roman" w:hAnsi="Times New Roman"/>
        </w:rPr>
        <w:t>5.2 Zur Verletzungshandlung</w:t>
      </w:r>
    </w:p>
    <w:p>
      <w:pPr>
        <w:jc w:val="left"/>
      </w:pPr>
      <w:r>
        <w:t>Die Beklagte vertreibt das Produkt „Garden Rose Bloom" seit März 2026 in Deutschland. Beweis: Testkaufprotokoll (Anlage K 2), Kassenbons (Anlage K 3 und K 4), Lichtbilder (Anlage K 5 bis K 12), Online-Shop-Printscreens vom 14. April 2026 (Anlage K 13), Lieferschein Online-Kauf (Anlage K 14).</w:t>
      </w:r>
    </w:p>
    <w:p>
      <w:pPr>
        <w:pStyle w:val="Heading3"/>
      </w:pPr>
      <w:r>
        <w:rPr>
          <w:rFonts w:ascii="Times New Roman" w:hAnsi="Times New Roman"/>
        </w:rPr>
        <w:t>5.3 Zur Verwechslungsgefahr</w:t>
      </w:r>
    </w:p>
    <w:p>
      <w:pPr>
        <w:jc w:val="left"/>
      </w:pPr>
      <w:r>
        <w:t>Der Vergleich der eingetragenen Marke mit dem Verletzungsgegenstand zeigt eine hochgradige Formähnlichkeit in allen wesentlichen Merkmalen. Insbesondere:</w:t>
      </w:r>
    </w:p>
    <w:p>
      <w:pPr>
        <w:pStyle w:val="ListBullet"/>
      </w:pPr>
      <w:r>
        <w:rPr>
          <w:b/>
        </w:rPr>
        <w:t>Blütenblattanzahl und -anordnung:</w:t>
      </w:r>
      <w:r>
        <w:t xml:space="preserve"> Identisch (acht äußere, sieben innere Blütenblätter).</w:t>
      </w:r>
    </w:p>
    <w:p>
      <w:pPr>
        <w:pStyle w:val="ListBullet"/>
      </w:pPr>
      <w:r>
        <w:rPr>
          <w:b/>
        </w:rPr>
        <w:t>Stielschaftgestaltung:</w:t>
      </w:r>
      <w:r>
        <w:t xml:space="preserve"> Nahezu identisch (S-Form, identischer Schwungradius).</w:t>
      </w:r>
    </w:p>
    <w:p>
      <w:pPr>
        <w:pStyle w:val="ListBullet"/>
      </w:pPr>
      <w:r>
        <w:rPr>
          <w:b/>
        </w:rPr>
        <w:t>Blattattrappe:</w:t>
      </w:r>
      <w:r>
        <w:t xml:space="preserve"> Identisch (ein Einzelblatt, halbe Schafthöhe, naturalistisch geformt).</w:t>
      </w:r>
    </w:p>
    <w:p>
      <w:pPr>
        <w:jc w:val="left"/>
      </w:pPr>
      <w:r>
        <w:t>Abweichungen in Material (Gusseisen vs. Aluminium) und Farbe (Schwarz-Patina vs. Weiß-Lackierung) sind aus Sicht des Verbrauchers nicht geeignet, die Verwechslungsgefahr zu beseitigen, da der maßgebliche Formvergleich diese Unterschiede überlagert.</w:t>
      </w:r>
    </w:p>
    <w:p>
      <w:pPr>
        <w:jc w:val="left"/>
      </w:pPr>
      <w:r>
        <w:t>Beweis: Sachverständigengutachten von Prof. Dr. Ingeborg Hausmann-Ketterer, Design-Sachverständige, Staatliche Hochschule für Gestaltung Karlsruhe (wird nachgereicht, Frist: 30. Juni 2026).</w:t>
      </w:r>
    </w:p>
    <w:p>
      <w:pPr>
        <w:pStyle w:val="Heading3"/>
      </w:pPr>
      <w:r>
        <w:rPr>
          <w:rFonts w:ascii="Times New Roman" w:hAnsi="Times New Roman"/>
        </w:rPr>
        <w:t>5.4 Zur Schadensentstehung</w:t>
      </w:r>
    </w:p>
    <w:p>
      <w:pPr>
        <w:jc w:val="left"/>
      </w:pPr>
      <w:r>
        <w:t>Aufgrund der Verletzungshandlung sind der Klägerin Schäden entstanden durch:</w:t>
      </w:r>
    </w:p>
    <w:p>
      <w:pPr>
        <w:pStyle w:val="ListBullet"/>
      </w:pPr>
      <w:r>
        <w:t>Umsatzverlust im eigenen Vertrieb (Wettbewerb auf demselben Markt durch ein optisch identisches Billigprodukt)</w:t>
      </w:r>
    </w:p>
    <w:p>
      <w:pPr>
        <w:pStyle w:val="ListBullet"/>
      </w:pPr>
      <w:r>
        <w:t>Imageschaden durch Qualitätsassoziationen (das 24,99 EUR-Produkt von FlowerWorld verwässert das Premiumimage der Klägerin)</w:t>
      </w:r>
    </w:p>
    <w:p>
      <w:pPr>
        <w:pStyle w:val="ListBullet"/>
      </w:pPr>
      <w:r>
        <w:t>Aufwendungen für die Rechtsverfolgung</w:t>
      </w:r>
    </w:p>
    <w:p>
      <w:pPr>
        <w:jc w:val="left"/>
      </w:pPr>
      <w:r>
        <w:t>Die Schadenshöhe wird nach Auskunftserteilung durch die Beklagte beziffert werden (Stufenklage nach § 254 ZPO i.V.m. § 19 MarkenG).</w:t>
      </w:r>
    </w:p>
    <w:p>
      <w:pPr>
        <w:pStyle w:val="Heading2"/>
      </w:pPr>
      <w:r>
        <w:rPr>
          <w:rFonts w:ascii="Times New Roman" w:hAnsi="Times New Roman"/>
        </w:rPr>
        <w:t>6. Rechtliche Ausführungen (Kurzfassung)</w:t>
      </w:r>
    </w:p>
    <w:p>
      <w:pPr>
        <w:pStyle w:val="Heading3"/>
      </w:pPr>
      <w:r>
        <w:rPr>
          <w:rFonts w:ascii="Times New Roman" w:hAnsi="Times New Roman"/>
        </w:rPr>
        <w:t>6.1 Verletzung der EU-3D-Marke</w:t>
      </w:r>
    </w:p>
    <w:p>
      <w:pPr>
        <w:jc w:val="left"/>
      </w:pPr>
      <w:r>
        <w:t>Art. 9 Abs. 2 lit. b UMV i.V.m. § 14 Abs. 2 Nr. 2 MarkenG: Voraussetzungen sind Zeichenidentität oder -ähnlichkeit, Waren-/Dienstleistungsähnlichkeit oder -identität und hieraus resultierende Verwechslungsgefahr. Alle drei Voraussetzungen liegen vor (vgl. Verletzungsanalyse Aktenstück 04).</w:t>
      </w:r>
    </w:p>
    <w:p>
      <w:pPr>
        <w:pStyle w:val="Heading3"/>
      </w:pPr>
      <w:r>
        <w:rPr>
          <w:rFonts w:ascii="Times New Roman" w:hAnsi="Times New Roman"/>
        </w:rPr>
        <w:t>6.2 Kein Rechtfertigungsgrund</w:t>
      </w:r>
    </w:p>
    <w:p>
      <w:pPr>
        <w:jc w:val="left"/>
      </w:pPr>
      <w:r>
        <w:t>Ein Rechtfertigungsgrund ist nicht ersichtlich. Insbesondere:</w:t>
      </w:r>
    </w:p>
    <w:p>
      <w:pPr>
        <w:pStyle w:val="ListBullet"/>
      </w:pPr>
      <w:r>
        <w:t>Keine Zustimmung der Klägerin</w:t>
      </w:r>
    </w:p>
    <w:p>
      <w:pPr>
        <w:pStyle w:val="ListBullet"/>
      </w:pPr>
      <w:r>
        <w:t>Keine Erschöpfung (§ 24 MarkenG): Die streitgegenständlichen Produkte wurden von FlowerWorld selbst hergestellt/importiert, nicht durch die Klägerin in den Verkehr gebracht</w:t>
      </w:r>
    </w:p>
    <w:p>
      <w:pPr>
        <w:pStyle w:val="ListBullet"/>
      </w:pPr>
      <w:r>
        <w:t>Keine Vorbenutzung (§ 22 MarkenG): FlowerWorld war vor 2026 nicht im Rosenbluete-Segment tätig</w:t>
      </w:r>
    </w:p>
    <w:p>
      <w:pPr>
        <w:pStyle w:val="Heading3"/>
      </w:pPr>
      <w:r>
        <w:rPr>
          <w:rFonts w:ascii="Times New Roman" w:hAnsi="Times New Roman"/>
        </w:rPr>
        <w:t>6.3 Zum EUIPO-Nichtigkeitsantrag</w:t>
      </w:r>
    </w:p>
    <w:p>
      <w:pPr>
        <w:jc w:val="left"/>
      </w:pPr>
      <w:r>
        <w:t>Der Umstand, dass Bouqart Italia S.r.l. einen Nichtigkeitsantrag beim EUIPO gestellt hat, steht der Durchsetzung der Marke nicht entgegen. Die Marke ist bis zu einer rechtskräftigen Löschungsentscheidung voll wirksam (Art. 128 Abs. 7 UMV; BGH GRUR 2005, 432 — Markenrecht-Schutzumfang bei anhängendem Nichtigkeitsantrag). Das LG Mannheim ist nicht gehalten, das Verfahren bis zur EUIPO-Entscheidung auszusetzen (vgl. § 127 UMV: Aussetzung im Ermessen des Gerichts).</w:t>
      </w:r>
    </w:p>
    <w:p>
      <w:pPr>
        <w:pStyle w:val="Heading2"/>
      </w:pPr>
      <w:r>
        <w:rPr>
          <w:rFonts w:ascii="Times New Roman" w:hAnsi="Times New Roman"/>
        </w:rPr>
        <w:t>7. Zuständigkeit</w:t>
      </w:r>
    </w:p>
    <w:p>
      <w:pPr>
        <w:jc w:val="left"/>
      </w:pPr>
      <w:r>
        <w:t>Das LG Mannheim ist als Kammer für Handelssachen (§ 93 GVG i.V.m. § 95 Abs. 1 Nr. 5 GVG) sachlich zuständig. Örtlich zuständig nach § 32 ZPO (Begehungsort der unerlaubten Handlung), da das Produkt in der Filiale Mannheim-Neckarau angeboten und verkauft wurde.</w:t>
      </w:r>
    </w:p>
    <w:p>
      <w:pPr>
        <w:jc w:val="left"/>
      </w:pPr>
      <w:r>
        <w:t>Alternativ: § 14 MarkenG (Sondergerichtsstand für Markenstreitigkeiten) — das LG Mannheim hat nach der Geschäftsverteilung der Landgerichte Baden-Württemberg besondere Markenrechtszuständigkeit für den OLG-Bezirk Karlsruhe.</w:t>
      </w:r>
    </w:p>
    <w:p/>
    <w:p>
      <w:pPr>
        <w:jc w:val="left"/>
      </w:pPr>
      <w:r>
        <w:rPr>
          <w:b/>
        </w:rPr>
        <w:t>Erstellt von:</w:t>
      </w:r>
      <w:r>
        <w:t xml:space="preserve"> RA Philipp Mertens-Waldhausen</w:t>
      </w:r>
    </w:p>
    <w:p>
      <w:pPr>
        <w:jc w:val="left"/>
      </w:pPr>
      <w:r>
        <w:rPr>
          <w:b/>
        </w:rPr>
        <w:t>Datum:</w:t>
      </w:r>
      <w:r>
        <w:t xml:space="preserve"> 12. Mai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