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Schadensberechnung: Lizenzanalogie nach § 14 Abs. 6 MarkenG</w:t>
      </w:r>
    </w:p>
    <w:p>
      <w:pPr>
        <w:jc w:val="left"/>
      </w:pPr>
      <w:r>
        <w:rPr>
          <w:b/>
        </w:rPr>
        <w:t>Bearbeiter:</w:t>
      </w:r>
      <w:r>
        <w:t xml:space="preserve"> RA Philipp Mertens-Waldhausen / PA Dr. Volkmar Trautmann</w:t>
      </w:r>
    </w:p>
    <w:p>
      <w:pPr>
        <w:jc w:val="left"/>
      </w:pPr>
      <w:r>
        <w:rPr>
          <w:b/>
        </w:rPr>
        <w:t>Datum:</w:t>
      </w:r>
      <w:r>
        <w:t xml:space="preserve"> 18. Mai 2026</w:t>
      </w:r>
    </w:p>
    <w:p>
      <w:pPr>
        <w:jc w:val="left"/>
      </w:pPr>
      <w:r>
        <w:rPr>
          <w:b/>
        </w:rPr>
        <w:t>Verfahren:</w:t>
      </w:r>
      <w:r>
        <w:t xml:space="preserve"> LG Mannheim 7 O 88/26</w:t>
      </w:r>
    </w:p>
    <w:p/>
    <w:p>
      <w:pPr>
        <w:pStyle w:val="Heading2"/>
      </w:pPr>
      <w:r>
        <w:rPr>
          <w:rFonts w:ascii="Times New Roman" w:hAnsi="Times New Roman"/>
        </w:rPr>
        <w:t>1. Grundlagen der Schadensberechnung</w:t>
      </w:r>
    </w:p>
    <w:p>
      <w:pPr>
        <w:jc w:val="left"/>
      </w:pPr>
      <w:r>
        <w:t>Der Inhaber einer Marke, die vorsätzlich oder fahrlässig verletzt wird, kann nach § 14 Abs. 6 MarkenG Schadensersatz verlangen. Im Rahmen der sog. Dreifachberechnung stehen dem Verletzten alternativ zur Verfügung:</w:t>
      </w:r>
    </w:p>
    <w:p>
      <w:pPr>
        <w:pStyle w:val="ListNumber"/>
      </w:pPr>
      <w:r>
        <w:rPr>
          <w:b/>
        </w:rPr>
        <w:t>Konkreter Schaden:</w:t>
      </w:r>
      <w:r>
        <w:t xml:space="preserve"> Tatsächlich entgangener Gewinn (schwer zu berechnen, beweisaufwendig)</w:t>
      </w:r>
    </w:p>
    <w:p>
      <w:pPr>
        <w:pStyle w:val="ListNumber"/>
      </w:pPr>
      <w:r>
        <w:rPr>
          <w:b/>
        </w:rPr>
        <w:t>Herausgabe des Verletzergewinns:</w:t>
      </w:r>
      <w:r>
        <w:t xml:space="preserve"> Der Gewinn, den der Verletzer durch die Nutzung des Schutzrechts erzielt hat</w:t>
      </w:r>
    </w:p>
    <w:p>
      <w:pPr>
        <w:pStyle w:val="ListNumber"/>
      </w:pPr>
      <w:r>
        <w:rPr>
          <w:b/>
        </w:rPr>
        <w:t>Lizenzanalogie:</w:t>
      </w:r>
      <w:r>
        <w:t xml:space="preserve"> Angemessene Vergütung, die bei Abschluss eines Lizenzvertrags zu zahlen gewesen wäre</w:t>
      </w:r>
    </w:p>
    <w:p>
      <w:pPr>
        <w:jc w:val="left"/>
      </w:pPr>
      <w:r>
        <w:t xml:space="preserve">Die Klägerin wählt </w:t>
      </w:r>
      <w:r>
        <w:rPr>
          <w:b/>
        </w:rPr>
        <w:t>primär die Lizenzanalogie</w:t>
      </w:r>
      <w:r>
        <w:t xml:space="preserve"> und behält sich vor, nach Auskunftserteilung durch die Beklagte auf den höheren Verletzergewinn umzustellen.</w:t>
      </w:r>
    </w:p>
    <w:p>
      <w:pPr>
        <w:pStyle w:val="Heading2"/>
      </w:pPr>
      <w:r>
        <w:rPr>
          <w:rFonts w:ascii="Times New Roman" w:hAnsi="Times New Roman"/>
        </w:rPr>
        <w:t>2. Methodik der Lizenzanalogie</w:t>
      </w:r>
    </w:p>
    <w:p>
      <w:pPr>
        <w:jc w:val="left"/>
      </w:pPr>
      <w:r>
        <w:t>Bei der Lizenzanalogie ist derjenige Lizenzsatz zu ermitteln, den vernünftige Parteien bei einem gedachten Lizenzvertrag vereinbart hätten. Der BGH hat hierzu in ständiger Rechtsprechung (vgl. BGH GRUR 2009, 856 — Tripp-Trapp-Stuhl; BGH GRUR 2012, 716 — Desmopressin) ausgeführt:</w:t>
      </w:r>
    </w:p>
    <w:p>
      <w:pPr>
        <w:ind w:left="567"/>
      </w:pPr>
      <w:r>
        <w:rPr>
          <w:i/>
        </w:rPr>
        <w:t>„Die angemessene Lizenzgebühr ist die Vergütung, die ein vernünftiger Lizenznehmer für die Benutzung des Schutzrechts zu zahlen bereit wäre, wenn er es nicht einseitig in Anspruch nehmen, sondern eine Lizenz erwerben wollte."</w:t>
      </w:r>
    </w:p>
    <w:p>
      <w:pPr>
        <w:jc w:val="left"/>
      </w:pPr>
      <w:r>
        <w:t>Folgende Faktoren sind zu berücksichtigen:</w:t>
      </w:r>
    </w:p>
    <w:p>
      <w:pPr>
        <w:pStyle w:val="ListBullet"/>
      </w:pPr>
      <w:r>
        <w:t>Umfang und Qualität des Schutzrechts</w:t>
      </w:r>
    </w:p>
    <w:p>
      <w:pPr>
        <w:pStyle w:val="ListBullet"/>
      </w:pPr>
      <w:r>
        <w:t>Wirtschaftliche Bedeutung des Schutzrechts für den Verletzten</w:t>
      </w:r>
    </w:p>
    <w:p>
      <w:pPr>
        <w:pStyle w:val="ListBullet"/>
      </w:pPr>
      <w:r>
        <w:t>Marktposition des Verletzers</w:t>
      </w:r>
    </w:p>
    <w:p>
      <w:pPr>
        <w:pStyle w:val="ListBullet"/>
      </w:pPr>
      <w:r>
        <w:t>Übliche Lizenzsätze in der Branche</w:t>
      </w:r>
    </w:p>
    <w:p>
      <w:pPr>
        <w:pStyle w:val="ListBullet"/>
      </w:pPr>
      <w:r>
        <w:t>Gewinn des Verletzers aus der Verletzungshandlung</w:t>
      </w:r>
    </w:p>
    <w:p>
      <w:pPr>
        <w:pStyle w:val="Heading2"/>
      </w:pPr>
      <w:r>
        <w:rPr>
          <w:rFonts w:ascii="Times New Roman" w:hAnsi="Times New Roman"/>
        </w:rPr>
        <w:t>3. Ermittlung des Lizenzsatzes</w:t>
      </w:r>
    </w:p>
    <w:p>
      <w:pPr>
        <w:pStyle w:val="Heading3"/>
      </w:pPr>
      <w:r>
        <w:rPr>
          <w:rFonts w:ascii="Times New Roman" w:hAnsi="Times New Roman"/>
        </w:rPr>
        <w:t>3.1 Vergleichswerte aus Lizenzverträgen der Klägerin</w:t>
      </w:r>
    </w:p>
    <w:p>
      <w:pPr>
        <w:jc w:val="left"/>
      </w:pPr>
      <w:r>
        <w:t>Die Klägerin hat mit Fonderie Roussel SAS (Frankreich) einen Lizenzvertrag zu einem Lizenzsatz von 12 % des Nettoverkaufspreises je lizenziertem Stück abgeschlossen. Dieser Lizenzsatz gilt als Marktvergleichswert aus einer mit der Mandantin tatsächlich geschlossenen Vereinbarung.</w:t>
      </w:r>
    </w:p>
    <w:p>
      <w:pPr>
        <w:pStyle w:val="Heading3"/>
      </w:pPr>
      <w:r>
        <w:rPr>
          <w:rFonts w:ascii="Times New Roman" w:hAnsi="Times New Roman"/>
        </w:rPr>
        <w:t>3.2 Branchenübliche Lizenzsätze</w:t>
      </w:r>
    </w:p>
    <w:p>
      <w:pPr>
        <w:jc w:val="left"/>
      </w:pPr>
      <w:r>
        <w:t>Für Designlizenzen im Gartendekorationsbereich sind Lizenzsätze von 8 % bis 18 % des Nettoumsatzes üblich (Quelle: Licence Executives Society, Lizenzgebührendatenbank 2024; MPI-Studie Designlizenzen 2023). Bei einem starken, eingetragenen Schutzrecht wie hier liegt der marktübliche Satz im oberen Drittel dieses Bereichs.</w:t>
      </w:r>
    </w:p>
    <w:p>
      <w:pPr>
        <w:pStyle w:val="Heading3"/>
      </w:pPr>
      <w:r>
        <w:rPr>
          <w:rFonts w:ascii="Times New Roman" w:hAnsi="Times New Roman"/>
        </w:rPr>
        <w:t>3.3 Festlegung des Lizenzsatzes</w:t>
      </w:r>
    </w:p>
    <w:p>
      <w:pPr>
        <w:jc w:val="left"/>
      </w:pPr>
      <w:r>
        <w:t>Unter Berücksichtigung:</w:t>
      </w:r>
    </w:p>
    <w:p>
      <w:pPr>
        <w:pStyle w:val="ListBullet"/>
      </w:pPr>
      <w:r>
        <w:t>des eingetragenen, nicht erschöpften EU-3D-Markenschutzes (starkes Recht)</w:t>
      </w:r>
    </w:p>
    <w:p>
      <w:pPr>
        <w:pStyle w:val="ListBullet"/>
      </w:pPr>
      <w:r>
        <w:t>des Umstands, dass FlowerWorld ein deutlich günstigeres Produkt vertreibt (24,99 EUR vs. 189–420 EUR), das in einem anderen Preissegment agiert</w:t>
      </w:r>
    </w:p>
    <w:p>
      <w:pPr>
        <w:pStyle w:val="ListBullet"/>
      </w:pPr>
      <w:r>
        <w:t>des Volumens (340 Filialen, Onlineshop)</w:t>
      </w:r>
    </w:p>
    <w:p>
      <w:pPr>
        <w:pStyle w:val="ListBullet"/>
      </w:pPr>
      <w:r>
        <w:t>der Gefahr der Markenverwässerung durch das Billigprodukt</w:t>
      </w:r>
    </w:p>
    <w:p>
      <w:pPr>
        <w:jc w:val="left"/>
      </w:pPr>
      <w:r>
        <w:rPr>
          <w:b/>
        </w:rPr>
        <w:t>wird ein Lizenzsatz von 12 % des Nettoumsatzes der Beklagten festgesetzt.</w:t>
      </w:r>
      <w:r>
        <w:t xml:space="preserve"> Dieser Satz entspricht dem von der Klägerin selbst vereinbarten Satz mit Fonderie Roussel und liegt im branchenüblichen Rahmen.</w:t>
      </w:r>
    </w:p>
    <w:p>
      <w:pPr>
        <w:pStyle w:val="Heading2"/>
      </w:pPr>
      <w:r>
        <w:rPr>
          <w:rFonts w:ascii="Times New Roman" w:hAnsi="Times New Roman"/>
        </w:rPr>
        <w:t>4. Vorläufige Schadensberechnung (Schätzung nach § 287 ZPO)</w:t>
      </w:r>
    </w:p>
    <w:p>
      <w:pPr>
        <w:jc w:val="left"/>
      </w:pPr>
      <w:r>
        <w:t>Da die Beklagte noch keine vollständige Auskunft erteilt hat, erfolgt die Berechnung auf Basis der vorliegenden Schätzwerte. Endabrechnung nach Auskunft.</w:t>
      </w:r>
    </w:p>
    <w:p>
      <w:pPr>
        <w:pStyle w:val="Heading3"/>
      </w:pPr>
      <w:r>
        <w:rPr>
          <w:rFonts w:ascii="Times New Roman" w:hAnsi="Times New Roman"/>
        </w:rPr>
        <w:t>4.1 Geschätzte Umsätze FlowerWorld AG</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Zeitraum</w:t>
            </w:r>
          </w:p>
        </w:tc>
        <w:tc>
          <w:tcPr>
            <w:tcW w:type="dxa" w:w="1296"/>
          </w:tcPr>
          <w:p>
            <w:r>
              <w:rPr>
                <w:rFonts w:ascii="Times New Roman" w:hAnsi="Times New Roman"/>
                <w:b/>
                <w:sz w:val="20"/>
              </w:rPr>
              <w:t>Filialen</w:t>
            </w:r>
          </w:p>
        </w:tc>
        <w:tc>
          <w:tcPr>
            <w:tcW w:type="dxa" w:w="1296"/>
          </w:tcPr>
          <w:p>
            <w:r>
              <w:rPr>
                <w:rFonts w:ascii="Times New Roman" w:hAnsi="Times New Roman"/>
                <w:b/>
                <w:sz w:val="20"/>
              </w:rPr>
              <w:t>Stücke/Filiale/Monat (geschätzt)</w:t>
            </w:r>
          </w:p>
        </w:tc>
        <w:tc>
          <w:tcPr>
            <w:tcW w:type="dxa" w:w="1296"/>
          </w:tcPr>
          <w:p>
            <w:r>
              <w:rPr>
                <w:rFonts w:ascii="Times New Roman" w:hAnsi="Times New Roman"/>
                <w:b/>
                <w:sz w:val="20"/>
              </w:rPr>
              <w:t>Monate</w:t>
            </w:r>
          </w:p>
        </w:tc>
        <w:tc>
          <w:tcPr>
            <w:tcW w:type="dxa" w:w="1296"/>
          </w:tcPr>
          <w:p>
            <w:r>
              <w:rPr>
                <w:rFonts w:ascii="Times New Roman" w:hAnsi="Times New Roman"/>
                <w:b/>
                <w:sz w:val="20"/>
              </w:rPr>
              <w:t>Gesamtstücke</w:t>
            </w:r>
          </w:p>
        </w:tc>
        <w:tc>
          <w:tcPr>
            <w:tcW w:type="dxa" w:w="1296"/>
          </w:tcPr>
          <w:p>
            <w:r>
              <w:rPr>
                <w:rFonts w:ascii="Times New Roman" w:hAnsi="Times New Roman"/>
                <w:b/>
                <w:sz w:val="20"/>
              </w:rPr>
              <w:t>Netto-VK EUR/Stück</w:t>
            </w:r>
          </w:p>
        </w:tc>
        <w:tc>
          <w:tcPr>
            <w:tcW w:type="dxa" w:w="1296"/>
          </w:tcPr>
          <w:p>
            <w:r>
              <w:rPr>
                <w:rFonts w:ascii="Times New Roman" w:hAnsi="Times New Roman"/>
                <w:b/>
                <w:sz w:val="20"/>
              </w:rPr>
              <w:t>Nettoumsatz EUR</w:t>
            </w:r>
          </w:p>
        </w:tc>
      </w:tr>
      <w:tr>
        <w:tc>
          <w:tcPr>
            <w:tcW w:type="dxa" w:w="1296"/>
          </w:tcPr>
          <w:p>
            <w:r>
              <w:rPr>
                <w:rFonts w:ascii="Times New Roman" w:hAnsi="Times New Roman"/>
                <w:sz w:val="20"/>
              </w:rPr>
              <w:t>März 2026</w:t>
            </w:r>
          </w:p>
        </w:tc>
        <w:tc>
          <w:tcPr>
            <w:tcW w:type="dxa" w:w="1296"/>
          </w:tcPr>
          <w:p>
            <w:r>
              <w:rPr>
                <w:rFonts w:ascii="Times New Roman" w:hAnsi="Times New Roman"/>
                <w:sz w:val="20"/>
              </w:rPr>
              <w:t>340</w:t>
            </w:r>
          </w:p>
        </w:tc>
        <w:tc>
          <w:tcPr>
            <w:tcW w:type="dxa" w:w="1296"/>
          </w:tcPr>
          <w:p>
            <w:r>
              <w:rPr>
                <w:rFonts w:ascii="Times New Roman" w:hAnsi="Times New Roman"/>
                <w:sz w:val="20"/>
              </w:rPr>
              <w:t>15</w:t>
            </w:r>
          </w:p>
        </w:tc>
        <w:tc>
          <w:tcPr>
            <w:tcW w:type="dxa" w:w="1296"/>
          </w:tcPr>
          <w:p>
            <w:r>
              <w:rPr>
                <w:rFonts w:ascii="Times New Roman" w:hAnsi="Times New Roman"/>
                <w:sz w:val="20"/>
              </w:rPr>
              <w:t>1</w:t>
            </w:r>
          </w:p>
        </w:tc>
        <w:tc>
          <w:tcPr>
            <w:tcW w:type="dxa" w:w="1296"/>
          </w:tcPr>
          <w:p>
            <w:r>
              <w:rPr>
                <w:rFonts w:ascii="Times New Roman" w:hAnsi="Times New Roman"/>
                <w:sz w:val="20"/>
              </w:rPr>
              <w:t>5.100</w:t>
            </w:r>
          </w:p>
        </w:tc>
        <w:tc>
          <w:tcPr>
            <w:tcW w:type="dxa" w:w="1296"/>
          </w:tcPr>
          <w:p>
            <w:r>
              <w:rPr>
                <w:rFonts w:ascii="Times New Roman" w:hAnsi="Times New Roman"/>
                <w:sz w:val="20"/>
              </w:rPr>
              <w:t>21,00</w:t>
            </w:r>
          </w:p>
        </w:tc>
        <w:tc>
          <w:tcPr>
            <w:tcW w:type="dxa" w:w="1296"/>
          </w:tcPr>
          <w:p>
            <w:r>
              <w:rPr>
                <w:rFonts w:ascii="Times New Roman" w:hAnsi="Times New Roman"/>
                <w:sz w:val="20"/>
              </w:rPr>
              <w:t>107.100</w:t>
            </w:r>
          </w:p>
        </w:tc>
      </w:tr>
      <w:tr>
        <w:tc>
          <w:tcPr>
            <w:tcW w:type="dxa" w:w="1296"/>
          </w:tcPr>
          <w:p>
            <w:r>
              <w:rPr>
                <w:rFonts w:ascii="Times New Roman" w:hAnsi="Times New Roman"/>
                <w:sz w:val="20"/>
              </w:rPr>
              <w:t>April 2026</w:t>
            </w:r>
          </w:p>
        </w:tc>
        <w:tc>
          <w:tcPr>
            <w:tcW w:type="dxa" w:w="1296"/>
          </w:tcPr>
          <w:p>
            <w:r>
              <w:rPr>
                <w:rFonts w:ascii="Times New Roman" w:hAnsi="Times New Roman"/>
                <w:sz w:val="20"/>
              </w:rPr>
              <w:t>340</w:t>
            </w:r>
          </w:p>
        </w:tc>
        <w:tc>
          <w:tcPr>
            <w:tcW w:type="dxa" w:w="1296"/>
          </w:tcPr>
          <w:p>
            <w:r>
              <w:rPr>
                <w:rFonts w:ascii="Times New Roman" w:hAnsi="Times New Roman"/>
                <w:sz w:val="20"/>
              </w:rPr>
              <w:t>12</w:t>
            </w:r>
          </w:p>
        </w:tc>
        <w:tc>
          <w:tcPr>
            <w:tcW w:type="dxa" w:w="1296"/>
          </w:tcPr>
          <w:p>
            <w:r>
              <w:rPr>
                <w:rFonts w:ascii="Times New Roman" w:hAnsi="Times New Roman"/>
                <w:sz w:val="20"/>
              </w:rPr>
              <w:t>1</w:t>
            </w:r>
          </w:p>
        </w:tc>
        <w:tc>
          <w:tcPr>
            <w:tcW w:type="dxa" w:w="1296"/>
          </w:tcPr>
          <w:p>
            <w:r>
              <w:rPr>
                <w:rFonts w:ascii="Times New Roman" w:hAnsi="Times New Roman"/>
                <w:sz w:val="20"/>
              </w:rPr>
              <w:t>4.080</w:t>
            </w:r>
          </w:p>
        </w:tc>
        <w:tc>
          <w:tcPr>
            <w:tcW w:type="dxa" w:w="1296"/>
          </w:tcPr>
          <w:p>
            <w:r>
              <w:rPr>
                <w:rFonts w:ascii="Times New Roman" w:hAnsi="Times New Roman"/>
                <w:sz w:val="20"/>
              </w:rPr>
              <w:t>21,00</w:t>
            </w:r>
          </w:p>
        </w:tc>
        <w:tc>
          <w:tcPr>
            <w:tcW w:type="dxa" w:w="1296"/>
          </w:tcPr>
          <w:p>
            <w:r>
              <w:rPr>
                <w:rFonts w:ascii="Times New Roman" w:hAnsi="Times New Roman"/>
                <w:sz w:val="20"/>
              </w:rPr>
              <w:t>85.680</w:t>
            </w:r>
          </w:p>
        </w:tc>
      </w:tr>
      <w:tr>
        <w:tc>
          <w:tcPr>
            <w:tcW w:type="dxa" w:w="1296"/>
          </w:tcPr>
          <w:p>
            <w:r>
              <w:rPr>
                <w:rFonts w:ascii="Times New Roman" w:hAnsi="Times New Roman"/>
                <w:sz w:val="20"/>
              </w:rPr>
              <w:t>Mai 2026</w:t>
            </w:r>
          </w:p>
        </w:tc>
        <w:tc>
          <w:tcPr>
            <w:tcW w:type="dxa" w:w="1296"/>
          </w:tcPr>
          <w:p>
            <w:r>
              <w:rPr>
                <w:rFonts w:ascii="Times New Roman" w:hAnsi="Times New Roman"/>
                <w:sz w:val="20"/>
              </w:rPr>
              <w:t>340</w:t>
            </w:r>
          </w:p>
        </w:tc>
        <w:tc>
          <w:tcPr>
            <w:tcW w:type="dxa" w:w="1296"/>
          </w:tcPr>
          <w:p>
            <w:r>
              <w:rPr>
                <w:rFonts w:ascii="Times New Roman" w:hAnsi="Times New Roman"/>
                <w:sz w:val="20"/>
              </w:rPr>
              <w:t>8</w:t>
            </w:r>
          </w:p>
        </w:tc>
        <w:tc>
          <w:tcPr>
            <w:tcW w:type="dxa" w:w="1296"/>
          </w:tcPr>
          <w:p>
            <w:r>
              <w:rPr>
                <w:rFonts w:ascii="Times New Roman" w:hAnsi="Times New Roman"/>
                <w:sz w:val="20"/>
              </w:rPr>
              <w:t>1</w:t>
            </w:r>
          </w:p>
        </w:tc>
        <w:tc>
          <w:tcPr>
            <w:tcW w:type="dxa" w:w="1296"/>
          </w:tcPr>
          <w:p>
            <w:r>
              <w:rPr>
                <w:rFonts w:ascii="Times New Roman" w:hAnsi="Times New Roman"/>
                <w:sz w:val="20"/>
              </w:rPr>
              <w:t>2.720</w:t>
            </w:r>
          </w:p>
        </w:tc>
        <w:tc>
          <w:tcPr>
            <w:tcW w:type="dxa" w:w="1296"/>
          </w:tcPr>
          <w:p>
            <w:r>
              <w:rPr>
                <w:rFonts w:ascii="Times New Roman" w:hAnsi="Times New Roman"/>
                <w:sz w:val="20"/>
              </w:rPr>
              <w:t>21,00</w:t>
            </w:r>
          </w:p>
        </w:tc>
        <w:tc>
          <w:tcPr>
            <w:tcW w:type="dxa" w:w="1296"/>
          </w:tcPr>
          <w:p>
            <w:r>
              <w:rPr>
                <w:rFonts w:ascii="Times New Roman" w:hAnsi="Times New Roman"/>
                <w:sz w:val="20"/>
              </w:rPr>
              <w:t>57.120</w:t>
            </w:r>
          </w:p>
        </w:tc>
      </w:tr>
      <w:tr>
        <w:tc>
          <w:tcPr>
            <w:tcW w:type="dxa" w:w="1296"/>
          </w:tcPr>
          <w:p>
            <w:r>
              <w:rPr>
                <w:rFonts w:ascii="Times New Roman" w:hAnsi="Times New Roman"/>
                <w:sz w:val="20"/>
              </w:rPr>
              <w:t>Online-Shop (März–Mai 2026)</w:t>
            </w:r>
          </w:p>
        </w:tc>
        <w:tc>
          <w:tcPr>
            <w:tcW w:type="dxa" w:w="1296"/>
          </w:tcPr>
          <w:p>
            <w:r>
              <w:rPr>
                <w:rFonts w:ascii="Times New Roman" w:hAnsi="Times New Roman"/>
                <w:sz w:val="20"/>
              </w:rPr>
              <w:t>—</w:t>
            </w:r>
          </w:p>
        </w:tc>
        <w:tc>
          <w:tcPr>
            <w:tcW w:type="dxa" w:w="1296"/>
          </w:tcPr>
          <w:p>
            <w:r>
              <w:rPr>
                <w:rFonts w:ascii="Times New Roman" w:hAnsi="Times New Roman"/>
                <w:sz w:val="20"/>
              </w:rPr>
              <w:t>—</w:t>
            </w:r>
          </w:p>
        </w:tc>
        <w:tc>
          <w:tcPr>
            <w:tcW w:type="dxa" w:w="1296"/>
          </w:tcPr>
          <w:p>
            <w:r>
              <w:rPr>
                <w:rFonts w:ascii="Times New Roman" w:hAnsi="Times New Roman"/>
                <w:sz w:val="20"/>
              </w:rPr>
              <w:t>3</w:t>
            </w:r>
          </w:p>
        </w:tc>
        <w:tc>
          <w:tcPr>
            <w:tcW w:type="dxa" w:w="1296"/>
          </w:tcPr>
          <w:p>
            <w:r>
              <w:rPr>
                <w:rFonts w:ascii="Times New Roman" w:hAnsi="Times New Roman"/>
                <w:sz w:val="20"/>
              </w:rPr>
              <w:t>1.200</w:t>
            </w:r>
          </w:p>
        </w:tc>
        <w:tc>
          <w:tcPr>
            <w:tcW w:type="dxa" w:w="1296"/>
          </w:tcPr>
          <w:p>
            <w:r>
              <w:rPr>
                <w:rFonts w:ascii="Times New Roman" w:hAnsi="Times New Roman"/>
                <w:sz w:val="20"/>
              </w:rPr>
              <w:t>21,00</w:t>
            </w:r>
          </w:p>
        </w:tc>
        <w:tc>
          <w:tcPr>
            <w:tcW w:type="dxa" w:w="1296"/>
          </w:tcPr>
          <w:p>
            <w:r>
              <w:rPr>
                <w:rFonts w:ascii="Times New Roman" w:hAnsi="Times New Roman"/>
                <w:sz w:val="20"/>
              </w:rPr>
              <w:t>25.200</w:t>
            </w:r>
          </w:p>
        </w:tc>
      </w:tr>
      <w:tr>
        <w:tc>
          <w:tcPr>
            <w:tcW w:type="dxa" w:w="1296"/>
          </w:tcPr>
          <w:p>
            <w:r>
              <w:rPr>
                <w:rFonts w:ascii="Times New Roman" w:hAnsi="Times New Roman"/>
                <w:b/>
                <w:sz w:val="20"/>
              </w:rPr>
              <w:t>Summe</w:t>
            </w:r>
          </w:p>
        </w:tc>
        <w:tc>
          <w:tcPr>
            <w:tcW w:type="dxa" w:w="1296"/>
          </w:tcPr>
          <w:p/>
        </w:tc>
        <w:tc>
          <w:tcPr>
            <w:tcW w:type="dxa" w:w="1296"/>
          </w:tcPr>
          <w:p/>
        </w:tc>
        <w:tc>
          <w:tcPr>
            <w:tcW w:type="dxa" w:w="1296"/>
          </w:tcPr>
          <w:p/>
        </w:tc>
        <w:tc>
          <w:tcPr>
            <w:tcW w:type="dxa" w:w="1296"/>
          </w:tcPr>
          <w:p>
            <w:r>
              <w:rPr>
                <w:rFonts w:ascii="Times New Roman" w:hAnsi="Times New Roman"/>
                <w:b/>
                <w:sz w:val="20"/>
              </w:rPr>
              <w:t>13.100</w:t>
            </w:r>
          </w:p>
        </w:tc>
        <w:tc>
          <w:tcPr>
            <w:tcW w:type="dxa" w:w="1296"/>
          </w:tcPr>
          <w:p/>
        </w:tc>
        <w:tc>
          <w:tcPr>
            <w:tcW w:type="dxa" w:w="1296"/>
          </w:tcPr>
          <w:p>
            <w:r>
              <w:rPr>
                <w:rFonts w:ascii="Times New Roman" w:hAnsi="Times New Roman"/>
                <w:b/>
                <w:sz w:val="20"/>
              </w:rPr>
              <w:t>275.100</w:t>
            </w:r>
          </w:p>
        </w:tc>
      </w:tr>
    </w:tbl>
    <w:p>
      <w:pPr>
        <w:jc w:val="left"/>
      </w:pPr>
      <w:r>
        <w:t>Anmerkung: Netto-VK von 21,00 EUR entspricht dem Bruttopreis von 24,99 EUR abzüglich 19 % USt. (24,99 / 1,19 = 21,00 EUR).</w:t>
      </w:r>
    </w:p>
    <w:p>
      <w:pPr>
        <w:pStyle w:val="Heading3"/>
      </w:pPr>
      <w:r>
        <w:rPr>
          <w:rFonts w:ascii="Times New Roman" w:hAnsi="Times New Roman"/>
        </w:rPr>
        <w:t>4.2 Lizenzanalogie-Schadensbetrag (vorläufig)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Berechnung</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Geschätzter Nettoumsatz FlowerWorld</w:t>
            </w:r>
          </w:p>
        </w:tc>
        <w:tc>
          <w:tcPr>
            <w:tcW w:type="dxa" w:w="4536"/>
          </w:tcPr>
          <w:p>
            <w:r>
              <w:rPr>
                <w:rFonts w:ascii="Times New Roman" w:hAnsi="Times New Roman"/>
                <w:sz w:val="20"/>
              </w:rPr>
              <w:t>275.100</w:t>
            </w:r>
          </w:p>
        </w:tc>
      </w:tr>
      <w:tr>
        <w:tc>
          <w:tcPr>
            <w:tcW w:type="dxa" w:w="4536"/>
          </w:tcPr>
          <w:p>
            <w:r>
              <w:rPr>
                <w:rFonts w:ascii="Times New Roman" w:hAnsi="Times New Roman"/>
                <w:sz w:val="20"/>
              </w:rPr>
              <w:t>Lizenzsatz 12 %</w:t>
            </w:r>
          </w:p>
        </w:tc>
        <w:tc>
          <w:tcPr>
            <w:tcW w:type="dxa" w:w="4536"/>
          </w:tcPr>
          <w:p>
            <w:r>
              <w:rPr>
                <w:rFonts w:ascii="Times New Roman" w:hAnsi="Times New Roman"/>
                <w:sz w:val="20"/>
              </w:rPr>
              <w:t>33.012</w:t>
            </w:r>
          </w:p>
        </w:tc>
      </w:tr>
      <w:tr>
        <w:tc>
          <w:tcPr>
            <w:tcW w:type="dxa" w:w="4536"/>
          </w:tcPr>
          <w:p>
            <w:r>
              <w:rPr>
                <w:rFonts w:ascii="Times New Roman" w:hAnsi="Times New Roman"/>
                <w:b/>
                <w:sz w:val="20"/>
              </w:rPr>
              <w:t>Schadensersatz Lizenzanalogie (vorläufig)</w:t>
            </w:r>
          </w:p>
        </w:tc>
        <w:tc>
          <w:tcPr>
            <w:tcW w:type="dxa" w:w="4536"/>
          </w:tcPr>
          <w:p>
            <w:r>
              <w:rPr>
                <w:rFonts w:ascii="Times New Roman" w:hAnsi="Times New Roman"/>
                <w:b/>
                <w:sz w:val="20"/>
              </w:rPr>
              <w:t>33.012</w:t>
            </w:r>
          </w:p>
        </w:tc>
      </w:tr>
    </w:tbl>
    <w:p>
      <w:pPr>
        <w:pStyle w:val="Heading3"/>
      </w:pPr>
      <w:r>
        <w:rPr>
          <w:rFonts w:ascii="Times New Roman" w:hAnsi="Times New Roman"/>
        </w:rPr>
        <w:t>4.3 Zinsanspruch</w:t>
      </w:r>
    </w:p>
    <w:p>
      <w:pPr>
        <w:jc w:val="left"/>
      </w:pPr>
      <w:r>
        <w:t>Zinsen in Höhe von neun Prozentpunkten über dem Basiszinssatz ab Rechtshängigkeit (§ 288 Abs. 2 BGB), d.h. ab Klagezustellung am 08. Mai 2026.</w:t>
      </w:r>
    </w:p>
    <w:p>
      <w:pPr>
        <w:pStyle w:val="Heading2"/>
      </w:pPr>
      <w:r>
        <w:rPr>
          <w:rFonts w:ascii="Times New Roman" w:hAnsi="Times New Roman"/>
        </w:rPr>
        <w:t>5. Dreifachberechnung — Vergleich der Methoden</w:t>
      </w:r>
    </w:p>
    <w:p>
      <w:pPr>
        <w:jc w:val="left"/>
      </w:pPr>
      <w:r>
        <w:t>Zur Abwägung, welche Methode nach Auskunftserteilung vorzugswürdig ist: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Methode</w:t>
            </w:r>
          </w:p>
        </w:tc>
        <w:tc>
          <w:tcPr>
            <w:tcW w:type="dxa" w:w="2268"/>
          </w:tcPr>
          <w:p>
            <w:r>
              <w:rPr>
                <w:rFonts w:ascii="Times New Roman" w:hAnsi="Times New Roman"/>
                <w:b/>
                <w:sz w:val="20"/>
              </w:rPr>
              <w:t>Vorläufige Schätzung EUR</w:t>
            </w:r>
          </w:p>
        </w:tc>
        <w:tc>
          <w:tcPr>
            <w:tcW w:type="dxa" w:w="2268"/>
          </w:tcPr>
          <w:p>
            <w:r>
              <w:rPr>
                <w:rFonts w:ascii="Times New Roman" w:hAnsi="Times New Roman"/>
                <w:b/>
                <w:sz w:val="20"/>
              </w:rPr>
              <w:t>Beweisschwierigkeit</w:t>
            </w:r>
          </w:p>
        </w:tc>
        <w:tc>
          <w:tcPr>
            <w:tcW w:type="dxa" w:w="2268"/>
          </w:tcPr>
          <w:p>
            <w:r>
              <w:rPr>
                <w:rFonts w:ascii="Times New Roman" w:hAnsi="Times New Roman"/>
                <w:b/>
                <w:sz w:val="20"/>
              </w:rPr>
              <w:t>Risiko</w:t>
            </w:r>
          </w:p>
        </w:tc>
      </w:tr>
      <w:tr>
        <w:tc>
          <w:tcPr>
            <w:tcW w:type="dxa" w:w="2268"/>
          </w:tcPr>
          <w:p>
            <w:r>
              <w:rPr>
                <w:rFonts w:ascii="Times New Roman" w:hAnsi="Times New Roman"/>
                <w:sz w:val="20"/>
              </w:rPr>
              <w:t>Lizenzanalogie (12 %)</w:t>
            </w:r>
          </w:p>
        </w:tc>
        <w:tc>
          <w:tcPr>
            <w:tcW w:type="dxa" w:w="2268"/>
          </w:tcPr>
          <w:p>
            <w:r>
              <w:rPr>
                <w:rFonts w:ascii="Times New Roman" w:hAnsi="Times New Roman"/>
                <w:sz w:val="20"/>
              </w:rPr>
              <w:t>ca. 33.000</w:t>
            </w:r>
          </w:p>
        </w:tc>
        <w:tc>
          <w:tcPr>
            <w:tcW w:type="dxa" w:w="2268"/>
          </w:tcPr>
          <w:p>
            <w:r>
              <w:rPr>
                <w:rFonts w:ascii="Times New Roman" w:hAnsi="Times New Roman"/>
                <w:sz w:val="20"/>
              </w:rPr>
              <w:t>Gering (Lizenzsatz belegt)</w:t>
            </w:r>
          </w:p>
        </w:tc>
        <w:tc>
          <w:tcPr>
            <w:tcW w:type="dxa" w:w="2268"/>
          </w:tcPr>
          <w:p>
            <w:r>
              <w:rPr>
                <w:rFonts w:ascii="Times New Roman" w:hAnsi="Times New Roman"/>
                <w:sz w:val="20"/>
              </w:rPr>
              <w:t>Gering</w:t>
            </w:r>
          </w:p>
        </w:tc>
      </w:tr>
      <w:tr>
        <w:tc>
          <w:tcPr>
            <w:tcW w:type="dxa" w:w="2268"/>
          </w:tcPr>
          <w:p>
            <w:r>
              <w:rPr>
                <w:rFonts w:ascii="Times New Roman" w:hAnsi="Times New Roman"/>
                <w:sz w:val="20"/>
              </w:rPr>
              <w:t>Verletzergewinn</w:t>
            </w:r>
          </w:p>
        </w:tc>
        <w:tc>
          <w:tcPr>
            <w:tcW w:type="dxa" w:w="2268"/>
          </w:tcPr>
          <w:p>
            <w:r>
              <w:rPr>
                <w:rFonts w:ascii="Times New Roman" w:hAnsi="Times New Roman"/>
                <w:sz w:val="20"/>
              </w:rPr>
              <w:t>Unbekannt (Auskunft ausstehend; geschätzt ca. 8–10 EUR/Stück = 105.000–131.000 EUR)</w:t>
            </w:r>
          </w:p>
        </w:tc>
        <w:tc>
          <w:tcPr>
            <w:tcW w:type="dxa" w:w="2268"/>
          </w:tcPr>
          <w:p>
            <w:r>
              <w:rPr>
                <w:rFonts w:ascii="Times New Roman" w:hAnsi="Times New Roman"/>
                <w:sz w:val="20"/>
              </w:rPr>
              <w:t>Mittel</w:t>
            </w:r>
          </w:p>
        </w:tc>
        <w:tc>
          <w:tcPr>
            <w:tcW w:type="dxa" w:w="2268"/>
          </w:tcPr>
          <w:p>
            <w:r>
              <w:rPr>
                <w:rFonts w:ascii="Times New Roman" w:hAnsi="Times New Roman"/>
                <w:sz w:val="20"/>
              </w:rPr>
              <w:t>Mittel</w:t>
            </w:r>
          </w:p>
        </w:tc>
      </w:tr>
      <w:tr>
        <w:tc>
          <w:tcPr>
            <w:tcW w:type="dxa" w:w="2268"/>
          </w:tcPr>
          <w:p>
            <w:r>
              <w:rPr>
                <w:rFonts w:ascii="Times New Roman" w:hAnsi="Times New Roman"/>
                <w:sz w:val="20"/>
              </w:rPr>
              <w:t>Entgangener eigener Gewinn</w:t>
            </w:r>
          </w:p>
        </w:tc>
        <w:tc>
          <w:tcPr>
            <w:tcW w:type="dxa" w:w="2268"/>
          </w:tcPr>
          <w:p>
            <w:r>
              <w:rPr>
                <w:rFonts w:ascii="Times New Roman" w:hAnsi="Times New Roman"/>
                <w:sz w:val="20"/>
              </w:rPr>
              <w:t>Unbekannt (Nachweis schwierig)</w:t>
            </w:r>
          </w:p>
        </w:tc>
        <w:tc>
          <w:tcPr>
            <w:tcW w:type="dxa" w:w="2268"/>
          </w:tcPr>
          <w:p>
            <w:r>
              <w:rPr>
                <w:rFonts w:ascii="Times New Roman" w:hAnsi="Times New Roman"/>
                <w:sz w:val="20"/>
              </w:rPr>
              <w:t>Hoch</w:t>
            </w:r>
          </w:p>
        </w:tc>
        <w:tc>
          <w:tcPr>
            <w:tcW w:type="dxa" w:w="2268"/>
          </w:tcPr>
          <w:p>
            <w:r>
              <w:rPr>
                <w:rFonts w:ascii="Times New Roman" w:hAnsi="Times New Roman"/>
                <w:sz w:val="20"/>
              </w:rPr>
              <w:t>Hoch</w:t>
            </w:r>
          </w:p>
        </w:tc>
      </w:tr>
    </w:tbl>
    <w:p>
      <w:pPr>
        <w:jc w:val="left"/>
      </w:pPr>
      <w:r>
        <w:rPr>
          <w:b/>
        </w:rPr>
        <w:t>Empfehlung:</w:t>
      </w:r>
      <w:r>
        <w:t xml:space="preserve"> Nach Eingang der Auskunft prüfen, ob der Verletzergewinn die Lizenzanalogie übersteigt; dann Wechsel zur Verletzergewinnmethode. In jedem Fall zunächst die Lizenzanalogie als Basis ansetzen (gesicherter Mindestschaden).</w:t>
      </w:r>
    </w:p>
    <w:p>
      <w:pPr>
        <w:pStyle w:val="Heading2"/>
      </w:pPr>
      <w:r>
        <w:rPr>
          <w:rFonts w:ascii="Times New Roman" w:hAnsi="Times New Roman"/>
        </w:rPr>
        <w:t>6. Zusätzliche Schadensposten</w:t>
      </w:r>
    </w:p>
    <w:p>
      <w:pPr>
        <w:jc w:val="left"/>
      </w:pPr>
      <w:r>
        <w:t>Neben der Lizenzanalogie macht die Klägerin folgende zusätzliche Schadenspositionen geltend:</w:t>
      </w:r>
    </w:p>
    <w:p>
      <w:pPr>
        <w:pStyle w:val="Heading3"/>
      </w:pPr>
      <w:r>
        <w:rPr>
          <w:rFonts w:ascii="Times New Roman" w:hAnsi="Times New Roman"/>
        </w:rPr>
        <w:t>6.1 Abmahnkosten</w:t>
      </w:r>
    </w:p>
    <w:p>
      <w:pPr>
        <w:jc w:val="left"/>
      </w:pPr>
      <w:r>
        <w:t>Notwendige Anwaltskosten der Abmahnung vom 16. April 2026:</w:t>
      </w:r>
    </w:p>
    <w:p>
      <w:pPr>
        <w:pStyle w:val="ListBullet"/>
      </w:pPr>
      <w:r>
        <w:t>Streitwert der Abmahnung: 250.000 EUR</w:t>
      </w:r>
    </w:p>
    <w:p>
      <w:pPr>
        <w:pStyle w:val="ListBullet"/>
      </w:pPr>
      <w:r>
        <w:t>1,3-fache Geschäftsgebühr (Nr. 2300 RVG-VV) nach RVG: 2.844,90 EUR (§ 13 Abs. 1 RVG, Anlage 1 RVG; Tabelle Stand 2023)</w:t>
      </w:r>
    </w:p>
    <w:p>
      <w:pPr>
        <w:pStyle w:val="ListBullet"/>
      </w:pPr>
      <w:r>
        <w:t>Telekommunikationspauschale (Nr. 7002 RVG-VV): 20,00 EUR</w:t>
      </w:r>
    </w:p>
    <w:p>
      <w:pPr>
        <w:pStyle w:val="ListBullet"/>
      </w:pPr>
      <w:r>
        <w:rPr>
          <w:b/>
        </w:rPr>
        <w:t>Gesamt netto: 2.864,90 EUR, zuzüglich 19 % MwSt. = 3.409,23 EUR</w:t>
      </w:r>
    </w:p>
    <w:p>
      <w:pPr>
        <w:pStyle w:val="Heading3"/>
      </w:pPr>
      <w:r>
        <w:rPr>
          <w:rFonts w:ascii="Times New Roman" w:hAnsi="Times New Roman"/>
        </w:rPr>
        <w:t>6.2 Kosten der eV-Einleitung</w:t>
      </w:r>
    </w:p>
    <w:p>
      <w:pPr>
        <w:pStyle w:val="ListBullet"/>
      </w:pPr>
      <w:r>
        <w:t>Gerichtskosten eV (1,5-fache Gebühr aus 250.000 EUR): 5.766,00 EUR</w:t>
      </w:r>
    </w:p>
    <w:p>
      <w:pPr>
        <w:pStyle w:val="ListBullet"/>
      </w:pPr>
      <w:r>
        <w:t>Anwaltsgebühren eV (1,3-fache Verfahrensgebühr, 1,2-fache Terminsgebühr bei Widerspruchsverhandlung): ca. 7.800,00 EUR netto</w:t>
      </w:r>
    </w:p>
    <w:p>
      <w:pPr>
        <w:pStyle w:val="ListBullet"/>
      </w:pPr>
      <w:r>
        <w:rPr>
          <w:b/>
        </w:rPr>
        <w:t>Gesamt: ca. 13.566,00 EUR</w:t>
      </w:r>
    </w:p>
    <w:p>
      <w:pPr>
        <w:pStyle w:val="Heading2"/>
      </w:pPr>
      <w:r>
        <w:rPr>
          <w:rFonts w:ascii="Times New Roman" w:hAnsi="Times New Roman"/>
        </w:rPr>
        <w:t>7. XLSX-Berechnung</w:t>
      </w:r>
    </w:p>
    <w:p>
      <w:pPr>
        <w:jc w:val="left"/>
      </w:pPr>
      <w:r>
        <w:t xml:space="preserve">Eine vollständige tabellarische Berechnung mit Sensitivitätsanalyse (verschiedene Lizenzsätze, verschiedene Stückzahlen) ist in der Datei </w:t>
      </w:r>
      <w:r>
        <w:t>xlsx/schadensberechnung_lizenzanalogie.xlsx</w:t>
      </w:r>
      <w:r>
        <w:t xml:space="preserve"> hinterlegt.</w:t>
      </w:r>
    </w:p>
    <w:p/>
    <w:p>
      <w:pPr>
        <w:jc w:val="left"/>
      </w:pPr>
      <w:r>
        <w:rPr>
          <w:b/>
        </w:rPr>
        <w:t>Erstellt von:</w:t>
      </w:r>
      <w:r>
        <w:t xml:space="preserve"> RA Philipp Mertens-Waldhausen</w:t>
      </w:r>
    </w:p>
    <w:p>
      <w:pPr>
        <w:jc w:val="left"/>
      </w:pPr>
      <w:r>
        <w:rPr>
          <w:b/>
        </w:rPr>
        <w:t>Geprüft:</w:t>
      </w:r>
      <w:r>
        <w:t xml:space="preserve"> PA Dr. Volkmar Trautmann</w:t>
      </w:r>
    </w:p>
    <w:p>
      <w:pPr>
        <w:jc w:val="left"/>
      </w:pPr>
      <w:r>
        <w:rPr>
          <w:b/>
        </w:rPr>
        <w:t>Datum:</w:t>
      </w:r>
      <w:r>
        <w:t xml:space="preserve"> 18. Mai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