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EUIPO-Nichtigkeitsantrag Bouqart Italia S.r.l.: Verfahrensgang und Erstentscheidung</w:t>
      </w:r>
    </w:p>
    <w:p>
      <w:pPr>
        <w:jc w:val="left"/>
      </w:pPr>
      <w:r>
        <w:rPr>
          <w:b/>
        </w:rPr>
        <w:t>Bearbeiter:</w:t>
      </w:r>
      <w:r>
        <w:t xml:space="preserve"> PA Dr. Volkmar Trautmann</w:t>
      </w:r>
    </w:p>
    <w:p>
      <w:pPr>
        <w:jc w:val="left"/>
      </w:pPr>
      <w:r>
        <w:rPr>
          <w:b/>
        </w:rPr>
        <w:t>Datum:</w:t>
      </w:r>
      <w:r>
        <w:t xml:space="preserve"> 20. Mai 2026</w:t>
      </w:r>
    </w:p>
    <w:p>
      <w:pPr>
        <w:jc w:val="left"/>
      </w:pPr>
      <w:r>
        <w:rPr>
          <w:b/>
        </w:rPr>
        <w:t>Verfahren:</w:t>
      </w:r>
      <w:r>
        <w:t xml:space="preserve"> EUIPO Nichtigkeitsabteilung / BoA R 1322/26-2</w:t>
      </w:r>
    </w:p>
    <w:p/>
    <w:p>
      <w:pPr>
        <w:pStyle w:val="Heading2"/>
      </w:pPr>
      <w:r>
        <w:rPr>
          <w:rFonts w:ascii="Times New Roman" w:hAnsi="Times New Roman"/>
        </w:rPr>
        <w:t>1. Einleitung des Nichtigkeitsverfahrens</w:t>
      </w:r>
    </w:p>
    <w:p>
      <w:pPr>
        <w:pStyle w:val="Heading3"/>
      </w:pPr>
      <w:r>
        <w:rPr>
          <w:rFonts w:ascii="Times New Roman" w:hAnsi="Times New Roman"/>
        </w:rPr>
        <w:t>1.1 Antragstellerin und Antragsgegenstand</w:t>
      </w:r>
    </w:p>
    <w:p>
      <w:pPr>
        <w:jc w:val="left"/>
      </w:pPr>
      <w:r>
        <w:rPr>
          <w:b/>
        </w:rPr>
        <w:t>Antragstellerin:</w:t>
      </w:r>
      <w:r>
        <w:t xml:space="preserve"> Bouqart Italia S.r.l., Via del Commercio 44, 41121 Modena, Italien</w:t>
      </w:r>
    </w:p>
    <w:p>
      <w:pPr>
        <w:jc w:val="left"/>
      </w:pPr>
      <w:r>
        <w:t>Vertreten durch: Studio Legale Ferretti &amp; Moretti, Mailand, Via Montenapoleone 12</w:t>
      </w:r>
    </w:p>
    <w:p>
      <w:pPr>
        <w:jc w:val="left"/>
      </w:pPr>
      <w:r>
        <w:rPr>
          <w:b/>
        </w:rPr>
        <w:t>Antragsgegenstand:</w:t>
      </w:r>
      <w:r>
        <w:t xml:space="preserve"> Nichtigerklärung der EU-3D-Marke EUIPO Nr. 018 977 412 (Inhaberin: Leichtenstein Gartenkultur Manufaktur GmbH)</w:t>
      </w:r>
    </w:p>
    <w:p>
      <w:pPr>
        <w:jc w:val="left"/>
      </w:pPr>
      <w:r>
        <w:rPr>
          <w:b/>
        </w:rPr>
        <w:t>Eingereicht beim EUIPO:</w:t>
      </w:r>
      <w:r>
        <w:t xml:space="preserve"> 11. September 2025</w:t>
      </w:r>
    </w:p>
    <w:p>
      <w:pPr>
        <w:jc w:val="left"/>
      </w:pPr>
      <w:r>
        <w:rPr>
          <w:b/>
        </w:rPr>
        <w:t>EUIPO-Aktenzeichen Nichtigkeitsabteilung:</w:t>
      </w:r>
      <w:r>
        <w:t xml:space="preserve"> ICD 000 042 881</w:t>
      </w:r>
    </w:p>
    <w:p>
      <w:pPr>
        <w:pStyle w:val="Heading3"/>
      </w:pPr>
      <w:r>
        <w:rPr>
          <w:rFonts w:ascii="Times New Roman" w:hAnsi="Times New Roman"/>
        </w:rPr>
        <w:t>1.2 Nichtigkeitsgründe laut Antrag Bouqart</w:t>
      </w:r>
    </w:p>
    <w:p>
      <w:pPr>
        <w:jc w:val="left"/>
      </w:pPr>
      <w:r>
        <w:t>Bouqart stützt seinen Nichtigkeitsantrag auf folgende Gründe:</w:t>
      </w:r>
    </w:p>
    <w:p>
      <w:pPr>
        <w:jc w:val="left"/>
      </w:pPr>
      <w:r>
        <w:rPr>
          <w:b/>
        </w:rPr>
        <w:t>Hauptgrund:</w:t>
      </w:r>
      <w:r>
        <w:t xml:space="preserve"> Art. 59 Abs. 1 lit. a i.V.m. Art. 7 Abs. 1 lit. b UMV — Mangelnde Unterscheidungskraft</w:t>
      </w:r>
    </w:p>
    <w:p>
      <w:pPr>
        <w:jc w:val="left"/>
      </w:pPr>
      <w:r>
        <w:t>Die eingetragene Form einer Rosenbluete ist nach Ansicht von Bouqart eine generische Blütenform, die im Gartendekorationsbereich weit verbreitet ist und vom Verbraucher nicht als Herkunftszeichen wahrgenommen wird.</w:t>
      </w:r>
    </w:p>
    <w:p>
      <w:pPr>
        <w:jc w:val="left"/>
      </w:pPr>
      <w:r>
        <w:rPr>
          <w:b/>
        </w:rPr>
        <w:t>Hilfsgrund 1:</w:t>
      </w:r>
      <w:r>
        <w:t xml:space="preserve"> Art. 59 Abs. 1 lit. a i.V.m. Art. 7 Abs. 1 lit. e (i) UMV — Warenbedingte Form</w:t>
      </w:r>
    </w:p>
    <w:p>
      <w:pPr>
        <w:jc w:val="left"/>
      </w:pPr>
      <w:r>
        <w:t>Bouqart behauptet, die konkrete Gestaltung ergebe sich zwingend aus der Art der Ware (Gartenblume als Deko-Artikel). Dieses Argument ist in dieser pauschalen Form nicht überzeugend (vgl. Aktenstück 03).</w:t>
      </w:r>
    </w:p>
    <w:p>
      <w:pPr>
        <w:jc w:val="left"/>
      </w:pPr>
      <w:r>
        <w:rPr>
          <w:b/>
        </w:rPr>
        <w:t>Hilfsgrund 2:</w:t>
      </w:r>
      <w:r>
        <w:t xml:space="preserve"> Art. 59 Abs. 1 lit. a i.V.m. Art. 7 Abs. 1 lit. c UMV — Freihaltebedürfnis</w:t>
      </w:r>
    </w:p>
    <w:p>
      <w:pPr>
        <w:jc w:val="left"/>
      </w:pPr>
      <w:r>
        <w:t>Die Form diene lediglich dazu, eine Rosenbluete darzustellen; solche beschreibenden Formen seien freizuhalten.</w:t>
      </w:r>
    </w:p>
    <w:p>
      <w:pPr>
        <w:pStyle w:val="Heading3"/>
      </w:pPr>
      <w:r>
        <w:rPr>
          <w:rFonts w:ascii="Times New Roman" w:hAnsi="Times New Roman"/>
        </w:rPr>
        <w:t>1.3 Beweismittel Bouqart im Nichtigkeitsverfahren</w:t>
      </w:r>
    </w:p>
    <w:p>
      <w:pPr>
        <w:jc w:val="left"/>
      </w:pPr>
      <w:r>
        <w:t>Bouqart legte als Beweismittel ein:</w:t>
      </w:r>
    </w:p>
    <w:p>
      <w:pPr>
        <w:pStyle w:val="ListBullet"/>
      </w:pPr>
      <w:r>
        <w:t>23 Fotos von Konkurrenzprodukten aus dem Zeitraum 2010 bis 2024 (Gartenzentren verschiedener Länder)</w:t>
      </w:r>
    </w:p>
    <w:p>
      <w:pPr>
        <w:pStyle w:val="ListBullet"/>
      </w:pPr>
      <w:r>
        <w:t>Ausdrucke aus Online-Shops (Amazon, Etsy, Amazon.fr) mit ähnlichen Rosenbluete-Dekorationen</w:t>
      </w:r>
    </w:p>
    <w:p>
      <w:pPr>
        <w:pStyle w:val="ListBullet"/>
      </w:pPr>
      <w:r>
        <w:t>Auszüge aus zwei EUIPO-Entscheidungen zu ähnlichen Formmarken (BoA R 0717/2015-5, R 1099/2019-4)</w:t>
      </w:r>
    </w:p>
    <w:p>
      <w:pPr>
        <w:pStyle w:val="ListBullet"/>
      </w:pPr>
      <w:r>
        <w:t>Eine kurze gutachterliche Stellungnahme von Dott.ssa Maria Calabrese, Marketingexpertin, Universitá Bocconi Mailand</w:t>
      </w:r>
    </w:p>
    <w:p>
      <w:pPr>
        <w:pStyle w:val="Heading2"/>
      </w:pPr>
      <w:r>
        <w:rPr>
          <w:rFonts w:ascii="Times New Roman" w:hAnsi="Times New Roman"/>
        </w:rPr>
        <w:t>2. Erwiderung der Markeninhaberin (Stellungnahme der Mandantin)</w:t>
      </w:r>
    </w:p>
    <w:p>
      <w:pPr>
        <w:pStyle w:val="Heading3"/>
      </w:pPr>
      <w:r>
        <w:rPr>
          <w:rFonts w:ascii="Times New Roman" w:hAnsi="Times New Roman"/>
        </w:rPr>
        <w:t>2.1 Zur mangelnden Unterscheidungskraft (Hauptgrund)</w:t>
      </w:r>
    </w:p>
    <w:p>
      <w:pPr>
        <w:jc w:val="left"/>
      </w:pPr>
      <w:r>
        <w:t>Die Markeninhaberin hat in ihrer Stellungnahme vom 15. November 2025 ausgeführt:</w:t>
      </w:r>
    </w:p>
    <w:p>
      <w:pPr>
        <w:jc w:val="left"/>
      </w:pPr>
      <w:r>
        <w:t>Die konkrete Gestaltung der Rosenbluete weicht erheblich vom branchenüblichen Standard ab. Die vorgelegten Konkurrenzprodukte zeigen durchweg entweder eine symmetrische Blütenblattanordnung oder deutlich vereinfachte, stilisierte Blütenformen. Die charakteristische Kombination aus asymmetrischer Doppellagenblüte, S-förmigem Schaft und einfacher Blattattrappe ist am Markt singulär.</w:t>
      </w:r>
    </w:p>
    <w:p>
      <w:pPr>
        <w:jc w:val="left"/>
      </w:pPr>
      <w:r>
        <w:t>Zur Begründung wurden vorgelegt:</w:t>
      </w:r>
    </w:p>
    <w:p>
      <w:pPr>
        <w:pStyle w:val="ListBullet"/>
      </w:pPr>
      <w:r>
        <w:t>15 eigene Produktfotos der Leichtenstein-Rosenbluete aus verschiedenen Perspektiven</w:t>
      </w:r>
    </w:p>
    <w:p>
      <w:pPr>
        <w:pStyle w:val="ListBullet"/>
      </w:pPr>
      <w:r>
        <w:t>18 Fotos von Konkurrenzprodukten, die die deutlichen Unterschiede in der Gestaltung belegen</w:t>
      </w:r>
    </w:p>
    <w:p>
      <w:pPr>
        <w:pStyle w:val="ListBullet"/>
      </w:pPr>
      <w:r>
        <w:t>Presseartikel aus Gartenbauzeitschriften (z.B. Mein schöner Garten, 03/2022: „Die eleganteste Gartenskulptur des Jahres")</w:t>
      </w:r>
    </w:p>
    <w:p>
      <w:pPr>
        <w:pStyle w:val="ListBullet"/>
      </w:pPr>
      <w:r>
        <w:t>Messepräsenz-Nachweise (Spoga+Gafa Köln 2022, 2023, 2024: Standfotos, Ausstellerverzeichnis)</w:t>
      </w:r>
    </w:p>
    <w:p>
      <w:pPr>
        <w:pStyle w:val="Heading3"/>
      </w:pPr>
      <w:r>
        <w:rPr>
          <w:rFonts w:ascii="Times New Roman" w:hAnsi="Times New Roman"/>
        </w:rPr>
        <w:t>2.2 Zur warenbedingten Form (Hilfsgrund 1)</w:t>
      </w:r>
    </w:p>
    <w:p>
      <w:pPr>
        <w:jc w:val="left"/>
      </w:pPr>
      <w:r>
        <w:t>Eine Gartendekorationen als solche hat keine technische Funktion. Die konkrete Form der Leichtenstein-Rosenbluete ist nicht durch ästhetische Zwänge oder technische Erfordernisse vorgegeben. Es existiert eine unendliche Zahl an Alternativen (andere Blütenformen, andere Proportionen, andere Gestaltungselemente). Art. 7 Abs. 1 lit. e UMV greift nicht ein.</w:t>
      </w:r>
    </w:p>
    <w:p>
      <w:pPr>
        <w:pStyle w:val="Heading3"/>
      </w:pPr>
      <w:r>
        <w:rPr>
          <w:rFonts w:ascii="Times New Roman" w:hAnsi="Times New Roman"/>
        </w:rPr>
        <w:t>2.3 Zum Freihaltebedürfnis (Hilfsgrund 2)</w:t>
      </w:r>
    </w:p>
    <w:p>
      <w:pPr>
        <w:jc w:val="left"/>
      </w:pPr>
      <w:r>
        <w:t>Art. 7 Abs. 1 lit. c UMV schützt beschreibende Angaben. Eine dreidimensionale Form ist grundsätzlich keine Angabe im Sinne dieser Vorschrift. Die eingetragene Form beschreibt keine Eigenschaft der Ware; sie ist die Ware. Die Vorschrift findet daher keine Anwendung (EuG T-87/00 — Procter &amp; Gamble: Art. 7 Abs. 1 lit. c schützt keine reinen Formmarken).</w:t>
      </w:r>
    </w:p>
    <w:p>
      <w:pPr>
        <w:pStyle w:val="Heading2"/>
      </w:pPr>
      <w:r>
        <w:rPr>
          <w:rFonts w:ascii="Times New Roman" w:hAnsi="Times New Roman"/>
        </w:rPr>
        <w:t>3. Entscheidung der Nichtigkeitsabteilung (08. Januar 2026)</w:t>
      </w:r>
    </w:p>
    <w:p>
      <w:pPr>
        <w:pStyle w:val="Heading3"/>
      </w:pPr>
      <w:r>
        <w:rPr>
          <w:rFonts w:ascii="Times New Roman" w:hAnsi="Times New Roman"/>
        </w:rPr>
        <w:t>3.1 Ergebnis</w:t>
      </w:r>
    </w:p>
    <w:p>
      <w:pPr>
        <w:jc w:val="left"/>
      </w:pPr>
      <w:r>
        <w:t>Die EUIPO-Nichtigkeitsabteilung hat den Nichtigkeitsantrag von Bouqart mit Entscheidung vom 08. Januar 2026 zurückgewiesen. Der Nichtigkeitsantrag hatte keinen Erfolg.</w:t>
      </w:r>
    </w:p>
    <w:p>
      <w:pPr>
        <w:pStyle w:val="Heading3"/>
      </w:pPr>
      <w:r>
        <w:rPr>
          <w:rFonts w:ascii="Times New Roman" w:hAnsi="Times New Roman"/>
        </w:rPr>
        <w:t>3.2 Begründung (Zusammenfassung)</w:t>
      </w:r>
    </w:p>
    <w:p>
      <w:pPr>
        <w:jc w:val="left"/>
      </w:pPr>
      <w:r>
        <w:rPr>
          <w:b/>
        </w:rPr>
        <w:t>Zur mangelnden Unterscheidungskraft:</w:t>
      </w:r>
    </w:p>
    <w:p>
      <w:pPr>
        <w:jc w:val="left"/>
      </w:pPr>
      <w:r>
        <w:t>Die Nichtigkeitsabteilung stellte fest, dass die eingetragene Gestaltung zwar eine Rosenbluete zeige, die konkrete Ausformung jedoch von handelsüblichen Gartendekos hinreichend abweiche. Insbesondere die S-förmige Schaftgestaltung in Kombination mit der Blattattrappe und der asymmetrischen Blütenblattanordnung schaffe eine Gesamtwirkung, die nicht als reiner Ausdruck der Warenform, sondern als individuelles Gestaltungselement wahrgenommen werde. Die vorgelegten Konkurrenzprodukte seien nicht geeignet, das Gegenteil zu beweisen, da sie in ihren Formdetails deutliche Unterschiede aufwiesen.</w:t>
      </w:r>
    </w:p>
    <w:p>
      <w:pPr>
        <w:jc w:val="left"/>
      </w:pPr>
      <w:r>
        <w:rPr>
          <w:b/>
        </w:rPr>
        <w:t>Zu den Hilfsgründen:</w:t>
      </w:r>
    </w:p>
    <w:p>
      <w:pPr>
        <w:jc w:val="left"/>
      </w:pPr>
      <w:r>
        <w:t>Die Nichtigkeitsabteilung folgte den Ausführungen der Markeninhaberin und lehnte sowohl den Freihaltebedürfnis-Einwand als auch den Funktionalitätseinwand ab.</w:t>
      </w:r>
    </w:p>
    <w:p>
      <w:pPr>
        <w:jc w:val="left"/>
      </w:pPr>
      <w:r>
        <w:rPr>
          <w:b/>
        </w:rPr>
        <w:t>Kosten:</w:t>
      </w:r>
    </w:p>
    <w:p>
      <w:pPr>
        <w:jc w:val="left"/>
      </w:pPr>
      <w:r>
        <w:t>Die Kosten des Verfahrens wurden Bouqart auferlegt.</w:t>
      </w:r>
    </w:p>
    <w:p>
      <w:pPr>
        <w:pStyle w:val="Heading2"/>
      </w:pPr>
      <w:r>
        <w:rPr>
          <w:rFonts w:ascii="Times New Roman" w:hAnsi="Times New Roman"/>
        </w:rPr>
        <w:t>4. Beschwerde Bouqart — Einleitung des Board-of-Appeal-Verfahrens</w:t>
      </w:r>
    </w:p>
    <w:p>
      <w:pPr>
        <w:pStyle w:val="Heading3"/>
      </w:pPr>
      <w:r>
        <w:rPr>
          <w:rFonts w:ascii="Times New Roman" w:hAnsi="Times New Roman"/>
        </w:rPr>
        <w:t>4.1 Beschwerdeeinlegung</w:t>
      </w:r>
    </w:p>
    <w:p>
      <w:pPr>
        <w:jc w:val="left"/>
      </w:pPr>
      <w:r>
        <w:t>Bouqart Italia S.r.l. hat mit Schreiben vom 07. März 2026 Beschwerde gegen die Entscheidung der Nichtigkeitsabteilung beim EUIPO Board of Appeal eingelegt. Die Beschwerde wurde unter dem Aktenzeichen R 1322/26-2 geführt.</w:t>
      </w:r>
    </w:p>
    <w:p>
      <w:pPr>
        <w:jc w:val="left"/>
      </w:pPr>
      <w:r>
        <w:t>Beschwerdebegründung (Frist: 07. Juni 2026): Bouqart bestreitet die Würdigung der Nichtigkeitsabteilung zur Unterscheidungskraft und kündigt an, ein eigenes demoskopisches Gutachten zum Nachweis der fehlenden Verkehrsgeltung einzureichen.</w:t>
      </w:r>
    </w:p>
    <w:p>
      <w:pPr>
        <w:pStyle w:val="Heading3"/>
      </w:pPr>
      <w:r>
        <w:rPr>
          <w:rFonts w:ascii="Times New Roman" w:hAnsi="Times New Roman"/>
        </w:rPr>
        <w:t>4.2 Zustellung an Markeninhaberin</w:t>
      </w:r>
    </w:p>
    <w:p>
      <w:pPr>
        <w:jc w:val="left"/>
      </w:pPr>
      <w:r>
        <w:t>Das EUIPO hat die Beschwerde und die Beschwerdebegründung an die Markeninhaberin zur Erwiderung zugestellt. Erwiderungsfrist: 15. Juli 2026 (vgl. Aktenstück 09).</w:t>
      </w:r>
    </w:p>
    <w:p>
      <w:pPr>
        <w:pStyle w:val="Heading3"/>
      </w:pPr>
      <w:r>
        <w:rPr>
          <w:rFonts w:ascii="Times New Roman" w:hAnsi="Times New Roman"/>
        </w:rPr>
        <w:t>4.3 Besetzung des Board of Appeal</w:t>
      </w:r>
    </w:p>
    <w:p>
      <w:pPr>
        <w:jc w:val="left"/>
      </w:pPr>
      <w:r>
        <w:t>Das EUIPO-Board of Appeal wird in der Besetzung mit drei Mitgliedern entscheiden. Berichterstatter: noch nicht bekannt. Berichtigungsanfragen bzgl. der Besetzung sind innerhalb von zwei Wochen nach Zustellung der Ladung möglich.</w:t>
      </w:r>
    </w:p>
    <w:p>
      <w:pPr>
        <w:pStyle w:val="Heading2"/>
      </w:pPr>
      <w:r>
        <w:rPr>
          <w:rFonts w:ascii="Times New Roman" w:hAnsi="Times New Roman"/>
        </w:rPr>
        <w:t>5. Strategische Bewertung</w:t>
      </w:r>
    </w:p>
    <w:p>
      <w:pPr>
        <w:jc w:val="left"/>
      </w:pPr>
      <w:r>
        <w:t>Das erstinstanzliche EUIPO-Verfahren wurde gewonnen. Dies ist eine solide Ausgangslage für das Beschwerdeverfahren, da der Board of Appeal die Entscheidung der Nichtigkeitsabteilung nicht einfach ersetzen, sondern nachvollziehbare Gründe für eine abweichende Entscheidung benennen muss. Die Markeninhaberin sollte in ihrer Erwiderung:</w:t>
      </w:r>
    </w:p>
    <w:p>
      <w:pPr>
        <w:pStyle w:val="ListNumber"/>
      </w:pPr>
      <w:r>
        <w:t>Die Begründung der Nichtigkeitsabteilung bekräftigen und vertiefen</w:t>
      </w:r>
    </w:p>
    <w:p>
      <w:pPr>
        <w:pStyle w:val="ListNumber"/>
      </w:pPr>
      <w:r>
        <w:t>Das angekündigte Bouqart-Gutachten inhaltlich antizipieren und Gegenargumente vorbereiten</w:t>
      </w:r>
    </w:p>
    <w:p>
      <w:pPr>
        <w:pStyle w:val="ListNumber"/>
      </w:pPr>
      <w:r>
        <w:t>Eigene positive Verkehrsgeltungsnachweise einreichen (Umfrage, Umsatzdaten)</w:t>
      </w:r>
    </w:p>
    <w:p>
      <w:pPr>
        <w:pStyle w:val="ListNumber"/>
      </w:pPr>
      <w:r>
        <w:t>Auf die Bindungswirkung der Erstentscheidung hinweisen (Board darf nur abweichen, wenn Erstentscheidung offensichtlich fehlerhaft war)</w:t>
      </w:r>
    </w:p>
    <w:p/>
    <w:p>
      <w:pPr>
        <w:jc w:val="left"/>
      </w:pPr>
      <w:r>
        <w:rPr>
          <w:b/>
        </w:rPr>
        <w:t>Erstellt von:</w:t>
      </w:r>
      <w:r>
        <w:t xml:space="preserve"> PA Dr. Volkmar Trautmann</w:t>
      </w:r>
    </w:p>
    <w:p>
      <w:pPr>
        <w:jc w:val="left"/>
      </w:pPr>
      <w:r>
        <w:rPr>
          <w:b/>
        </w:rPr>
        <w:t>Datum:</w:t>
      </w:r>
      <w:r>
        <w:t xml:space="preserve"> 20. Mai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