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10 — Designrecht: Neuheitsprüfung EU-Geschmacksmuster 008 412 661-0001</w:t>
      </w:r>
    </w:p>
    <w:p>
      <w:pPr>
        <w:jc w:val="left"/>
      </w:pPr>
      <w:r>
        <w:rPr>
          <w:b/>
        </w:rPr>
        <w:t>Bearbeiter:</w:t>
      </w:r>
      <w:r>
        <w:t xml:space="preserve"> PA Dr. Volkmar Trautmann</w:t>
      </w:r>
    </w:p>
    <w:p>
      <w:pPr>
        <w:jc w:val="left"/>
      </w:pPr>
      <w:r>
        <w:rPr>
          <w:b/>
        </w:rPr>
        <w:t>Datum:</w:t>
      </w:r>
      <w:r>
        <w:t xml:space="preserve"> 25. Mai 2026</w:t>
      </w:r>
    </w:p>
    <w:p>
      <w:pPr>
        <w:jc w:val="left"/>
      </w:pPr>
      <w:r>
        <w:rPr>
          <w:b/>
        </w:rPr>
        <w:t>Verfahren:</w:t>
      </w:r>
      <w:r>
        <w:t xml:space="preserve"> EUIPO Nichtigkeitsabteilung — Geschmacksmuster-Nichtigkeitsantrag Bouqart</w:t>
      </w:r>
    </w:p>
    <w:p/>
    <w:p>
      <w:pPr>
        <w:pStyle w:val="Heading2"/>
      </w:pPr>
      <w:r>
        <w:rPr>
          <w:rFonts w:ascii="Times New Roman" w:hAnsi="Times New Roman"/>
        </w:rPr>
        <w:t>1. Einleitung</w:t>
      </w:r>
    </w:p>
    <w:p>
      <w:pPr>
        <w:jc w:val="left"/>
      </w:pPr>
      <w:r>
        <w:t>Bouqart Italia S.r.l. hat neben dem Nichtigkeitsantrag gegen die EU-3D-Marke auch einen Nichtigkeitsantrag gegen das EU-Geschmacksmuster Community Design 008 412 661-0001 (Inhaberin: Leichtenstein Gartenkultur Manufaktur GmbH) eingereicht. Als zentrales Argument verweist Bouqart auf einen Katalog der französischen Gießerei Lefèvre &amp; Cie. aus dem Jahr 1962, der eine ähnliche Rosenbluete-Dekoration zeigen soll.</w:t>
      </w:r>
    </w:p>
    <w:p>
      <w:pPr>
        <w:jc w:val="left"/>
      </w:pPr>
      <w:r>
        <w:t>Dieses Aktenstück analysiert die Neuheitsfrage und bereitet die Verteidigung des Geschmacksmusters vor.</w:t>
      </w:r>
    </w:p>
    <w:p>
      <w:pPr>
        <w:pStyle w:val="Heading2"/>
      </w:pPr>
      <w:r>
        <w:rPr>
          <w:rFonts w:ascii="Times New Roman" w:hAnsi="Times New Roman"/>
        </w:rPr>
        <w:t>2. Rechtliche Grundlagen des EU-Geschmacksmusterneuheitsschutzes</w:t>
      </w:r>
    </w:p>
    <w:p>
      <w:pPr>
        <w:pStyle w:val="Heading3"/>
      </w:pPr>
      <w:r>
        <w:rPr>
          <w:rFonts w:ascii="Times New Roman" w:hAnsi="Times New Roman"/>
        </w:rPr>
        <w:t>2.1 Neuheit nach Art. 5 GGV</w:t>
      </w:r>
    </w:p>
    <w:p>
      <w:pPr>
        <w:jc w:val="left"/>
      </w:pPr>
      <w:r>
        <w:t>Gemäß Art. 5 der Gemeinschaftsgeschmacksmusterverordnung (Verordnung (EG) Nr. 6/2002, GGV) gilt ein Geschmacksmuster als neu, wenn dem einschlägigen Fachkreis kein identisches Muster vor dem Anmeldetag zugänglich gemacht worden ist. Identisch ist ein Muster, wenn sich die Merkmale nur in unwesentlichen Einzelheiten unterscheiden.</w:t>
      </w:r>
    </w:p>
    <w:p>
      <w:pPr>
        <w:jc w:val="left"/>
      </w:pPr>
      <w:r>
        <w:rPr>
          <w:b/>
        </w:rPr>
        <w:t>Anmeldedatum des Geschmacksmusters:</w:t>
      </w:r>
      <w:r>
        <w:t xml:space="preserve"> 15. März 2018</w:t>
      </w:r>
    </w:p>
    <w:p>
      <w:pPr>
        <w:jc w:val="left"/>
      </w:pPr>
      <w:r>
        <w:rPr>
          <w:b/>
        </w:rPr>
        <w:t>Frage:</w:t>
      </w:r>
      <w:r>
        <w:t xml:space="preserve"> War dem einschlägigen Fachkreis vor dem 15. März 2018 ein identisches oder nahezu identisches Muster bekannt?</w:t>
      </w:r>
    </w:p>
    <w:p>
      <w:pPr>
        <w:pStyle w:val="Heading3"/>
      </w:pPr>
      <w:r>
        <w:rPr>
          <w:rFonts w:ascii="Times New Roman" w:hAnsi="Times New Roman"/>
        </w:rPr>
        <w:t>2.2 Eigenart nach Art. 6 GGV</w:t>
      </w:r>
    </w:p>
    <w:p>
      <w:pPr>
        <w:jc w:val="left"/>
      </w:pPr>
      <w:r>
        <w:t>Neben der Neuheit muss das Muster Eigenart aufweisen (Art. 6 GGV): Der beim informierten Benutzer hervorgerufene Gesamteindruck muss sich vom Gesamteindruck eines vor dem Anmeldetag offenbarten Musters unterscheiden. Dabei ist der Gestaltungsspielraum des Entwerfers zu berücksichtigen (Art. 6 Abs. 2 GGV). Je enger der Gestaltungsspielraum (z.B. bei stark technisch determinierten Produkten), desto geringere Abweichungen sind für die Eigenart ausreichend.</w:t>
      </w:r>
    </w:p>
    <w:p>
      <w:pPr>
        <w:pStyle w:val="Heading3"/>
      </w:pPr>
      <w:r>
        <w:rPr>
          <w:rFonts w:ascii="Times New Roman" w:hAnsi="Times New Roman"/>
        </w:rPr>
        <w:t>2.3 Maßgeblicher Stand des vorherigen Entwurfs (Art. 7 GGV)</w:t>
      </w:r>
    </w:p>
    <w:p>
      <w:pPr>
        <w:jc w:val="left"/>
      </w:pPr>
      <w:r>
        <w:t>Als offenbart gilt ein Muster, wenn es im Laufe des normalen Geschäftsbetriebs dem einschlägigen Fachkreis bekannt sein konnte (Art. 7 Abs. 1 GGV). Ein Muster aus dem Jahr 1962 kann grundsätzlich neuheitsschädlich sein, wenn es tatsächlich öffentlich zugänglich und dem Fachkreis bekannt war.</w:t>
      </w:r>
    </w:p>
    <w:p>
      <w:pPr>
        <w:pStyle w:val="Heading2"/>
      </w:pPr>
      <w:r>
        <w:rPr>
          <w:rFonts w:ascii="Times New Roman" w:hAnsi="Times New Roman"/>
        </w:rPr>
        <w:t>3. Der Vintage-Katalog 1962 — Analyse</w:t>
      </w:r>
    </w:p>
    <w:p>
      <w:pPr>
        <w:pStyle w:val="Heading3"/>
      </w:pPr>
      <w:r>
        <w:rPr>
          <w:rFonts w:ascii="Times New Roman" w:hAnsi="Times New Roman"/>
        </w:rPr>
        <w:t>3.1 Vorgelegte Unterlagen</w:t>
      </w:r>
    </w:p>
    <w:p>
      <w:pPr>
        <w:jc w:val="left"/>
      </w:pPr>
      <w:r>
        <w:t>Bouqart hat beim EUIPO eine schwarz-weiß Fotokopie von fünf Katalogseiten des Kataloges „Lefèvre &amp; Cie., Fonderie d'Art, Catalogue 1962" vorgelegt. Auf Seite 34 des Katalogs ist unter der Bezeichnung „Fleur de Fer — Modèle Décoratif No. 47-B" eine gegossene Eisenblume abgebildet.</w:t>
      </w:r>
    </w:p>
    <w:p>
      <w:pPr>
        <w:pStyle w:val="Heading3"/>
      </w:pPr>
      <w:r>
        <w:rPr>
          <w:rFonts w:ascii="Times New Roman" w:hAnsi="Times New Roman"/>
        </w:rPr>
        <w:t>3.2 Analyse der abgebildeten Form</w:t>
      </w:r>
    </w:p>
    <w:p>
      <w:pPr>
        <w:jc w:val="left"/>
      </w:pPr>
      <w:r>
        <w:t>Die Abbildung in dem Katalog zeigt eine stilisierte Blütenform auf einem geraden Stiel. Im Einzelnen: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Merkmal</w:t>
            </w:r>
          </w:p>
        </w:tc>
        <w:tc>
          <w:tcPr>
            <w:tcW w:type="dxa" w:w="2268"/>
          </w:tcPr>
          <w:p>
            <w:r>
              <w:rPr>
                <w:rFonts w:ascii="Times New Roman" w:hAnsi="Times New Roman"/>
                <w:b/>
                <w:sz w:val="20"/>
              </w:rPr>
              <w:t>Katalog 1962 (Lefèvre Modell 47-B)</w:t>
            </w:r>
          </w:p>
        </w:tc>
        <w:tc>
          <w:tcPr>
            <w:tcW w:type="dxa" w:w="2268"/>
          </w:tcPr>
          <w:p>
            <w:r>
              <w:rPr>
                <w:rFonts w:ascii="Times New Roman" w:hAnsi="Times New Roman"/>
                <w:b/>
                <w:sz w:val="20"/>
              </w:rPr>
              <w:t>Leichtenstein-Geschmacksmuster 008 412 661</w:t>
            </w:r>
          </w:p>
        </w:tc>
        <w:tc>
          <w:tcPr>
            <w:tcW w:type="dxa" w:w="2268"/>
          </w:tcPr>
          <w:p>
            <w:r>
              <w:rPr>
                <w:rFonts w:ascii="Times New Roman" w:hAnsi="Times New Roman"/>
                <w:b/>
                <w:sz w:val="20"/>
              </w:rPr>
              <w:t>Bewertung</w:t>
            </w:r>
          </w:p>
        </w:tc>
      </w:tr>
      <w:tr>
        <w:tc>
          <w:tcPr>
            <w:tcW w:type="dxa" w:w="2268"/>
          </w:tcPr>
          <w:p>
            <w:r>
              <w:rPr>
                <w:rFonts w:ascii="Times New Roman" w:hAnsi="Times New Roman"/>
                <w:sz w:val="20"/>
              </w:rPr>
              <w:t>Blütentyp</w:t>
            </w:r>
          </w:p>
        </w:tc>
        <w:tc>
          <w:tcPr>
            <w:tcW w:type="dxa" w:w="2268"/>
          </w:tcPr>
          <w:p>
            <w:r>
              <w:rPr>
                <w:rFonts w:ascii="Times New Roman" w:hAnsi="Times New Roman"/>
                <w:sz w:val="20"/>
              </w:rPr>
              <w:t>Stilisierte, schematische Blüte</w:t>
            </w:r>
          </w:p>
        </w:tc>
        <w:tc>
          <w:tcPr>
            <w:tcW w:type="dxa" w:w="2268"/>
          </w:tcPr>
          <w:p>
            <w:r>
              <w:rPr>
                <w:rFonts w:ascii="Times New Roman" w:hAnsi="Times New Roman"/>
                <w:sz w:val="20"/>
              </w:rPr>
              <w:t>Naturalistische Rosenbluete</w:t>
            </w:r>
          </w:p>
        </w:tc>
        <w:tc>
          <w:tcPr>
            <w:tcW w:type="dxa" w:w="2268"/>
          </w:tcPr>
          <w:p>
            <w:r>
              <w:rPr>
                <w:rFonts w:ascii="Times New Roman" w:hAnsi="Times New Roman"/>
                <w:sz w:val="20"/>
              </w:rPr>
              <w:t>Unterschied erheblich</w:t>
            </w:r>
          </w:p>
        </w:tc>
      </w:tr>
      <w:tr>
        <w:tc>
          <w:tcPr>
            <w:tcW w:type="dxa" w:w="2268"/>
          </w:tcPr>
          <w:p>
            <w:r>
              <w:rPr>
                <w:rFonts w:ascii="Times New Roman" w:hAnsi="Times New Roman"/>
                <w:sz w:val="20"/>
              </w:rPr>
              <w:t>Blütenblätter</w:t>
            </w:r>
          </w:p>
        </w:tc>
        <w:tc>
          <w:tcPr>
            <w:tcW w:type="dxa" w:w="2268"/>
          </w:tcPr>
          <w:p>
            <w:r>
              <w:rPr>
                <w:rFonts w:ascii="Times New Roman" w:hAnsi="Times New Roman"/>
                <w:sz w:val="20"/>
              </w:rPr>
              <w:t>6, symmetrisch angeordnet, flach</w:t>
            </w:r>
          </w:p>
        </w:tc>
        <w:tc>
          <w:tcPr>
            <w:tcW w:type="dxa" w:w="2268"/>
          </w:tcPr>
          <w:p>
            <w:r>
              <w:rPr>
                <w:rFonts w:ascii="Times New Roman" w:hAnsi="Times New Roman"/>
                <w:sz w:val="20"/>
              </w:rPr>
              <w:t>15, in zwei versetzten Lagen, räumlich</w:t>
            </w:r>
          </w:p>
        </w:tc>
        <w:tc>
          <w:tcPr>
            <w:tcW w:type="dxa" w:w="2268"/>
          </w:tcPr>
          <w:p>
            <w:r>
              <w:rPr>
                <w:rFonts w:ascii="Times New Roman" w:hAnsi="Times New Roman"/>
                <w:sz w:val="20"/>
              </w:rPr>
              <w:t>Erheblicher Unterschied</w:t>
            </w:r>
          </w:p>
        </w:tc>
      </w:tr>
      <w:tr>
        <w:tc>
          <w:tcPr>
            <w:tcW w:type="dxa" w:w="2268"/>
          </w:tcPr>
          <w:p>
            <w:r>
              <w:rPr>
                <w:rFonts w:ascii="Times New Roman" w:hAnsi="Times New Roman"/>
                <w:sz w:val="20"/>
              </w:rPr>
              <w:t>Stielform</w:t>
            </w:r>
          </w:p>
        </w:tc>
        <w:tc>
          <w:tcPr>
            <w:tcW w:type="dxa" w:w="2268"/>
          </w:tcPr>
          <w:p>
            <w:r>
              <w:rPr>
                <w:rFonts w:ascii="Times New Roman" w:hAnsi="Times New Roman"/>
                <w:sz w:val="20"/>
              </w:rPr>
              <w:t>Gerade, schlicht</w:t>
            </w:r>
          </w:p>
        </w:tc>
        <w:tc>
          <w:tcPr>
            <w:tcW w:type="dxa" w:w="2268"/>
          </w:tcPr>
          <w:p>
            <w:r>
              <w:rPr>
                <w:rFonts w:ascii="Times New Roman" w:hAnsi="Times New Roman"/>
                <w:sz w:val="20"/>
              </w:rPr>
              <w:t>S-förmig geschwungen</w:t>
            </w:r>
          </w:p>
        </w:tc>
        <w:tc>
          <w:tcPr>
            <w:tcW w:type="dxa" w:w="2268"/>
          </w:tcPr>
          <w:p>
            <w:r>
              <w:rPr>
                <w:rFonts w:ascii="Times New Roman" w:hAnsi="Times New Roman"/>
                <w:sz w:val="20"/>
              </w:rPr>
              <w:t>Klarer Unterschied</w:t>
            </w:r>
          </w:p>
        </w:tc>
      </w:tr>
      <w:tr>
        <w:tc>
          <w:tcPr>
            <w:tcW w:type="dxa" w:w="2268"/>
          </w:tcPr>
          <w:p>
            <w:r>
              <w:rPr>
                <w:rFonts w:ascii="Times New Roman" w:hAnsi="Times New Roman"/>
                <w:sz w:val="20"/>
              </w:rPr>
              <w:t>Blattattrappe</w:t>
            </w:r>
          </w:p>
        </w:tc>
        <w:tc>
          <w:tcPr>
            <w:tcW w:type="dxa" w:w="2268"/>
          </w:tcPr>
          <w:p>
            <w:r>
              <w:rPr>
                <w:rFonts w:ascii="Times New Roman" w:hAnsi="Times New Roman"/>
                <w:sz w:val="20"/>
              </w:rPr>
              <w:t>Keine</w:t>
            </w:r>
          </w:p>
        </w:tc>
        <w:tc>
          <w:tcPr>
            <w:tcW w:type="dxa" w:w="2268"/>
          </w:tcPr>
          <w:p>
            <w:r>
              <w:rPr>
                <w:rFonts w:ascii="Times New Roman" w:hAnsi="Times New Roman"/>
                <w:sz w:val="20"/>
              </w:rPr>
              <w:t>Einfaches Blatt auf halber Höhe</w:t>
            </w:r>
          </w:p>
        </w:tc>
        <w:tc>
          <w:tcPr>
            <w:tcW w:type="dxa" w:w="2268"/>
          </w:tcPr>
          <w:p>
            <w:r>
              <w:rPr>
                <w:rFonts w:ascii="Times New Roman" w:hAnsi="Times New Roman"/>
                <w:sz w:val="20"/>
              </w:rPr>
              <w:t>Klarer Unterschied</w:t>
            </w:r>
          </w:p>
        </w:tc>
      </w:tr>
      <w:tr>
        <w:tc>
          <w:tcPr>
            <w:tcW w:type="dxa" w:w="2268"/>
          </w:tcPr>
          <w:p>
            <w:r>
              <w:rPr>
                <w:rFonts w:ascii="Times New Roman" w:hAnsi="Times New Roman"/>
                <w:sz w:val="20"/>
              </w:rPr>
              <w:t>Gesamtwirkung</w:t>
            </w:r>
          </w:p>
        </w:tc>
        <w:tc>
          <w:tcPr>
            <w:tcW w:type="dxa" w:w="2268"/>
          </w:tcPr>
          <w:p>
            <w:r>
              <w:rPr>
                <w:rFonts w:ascii="Times New Roman" w:hAnsi="Times New Roman"/>
                <w:sz w:val="20"/>
              </w:rPr>
              <w:t>Technisch-schematisch</w:t>
            </w:r>
          </w:p>
        </w:tc>
        <w:tc>
          <w:tcPr>
            <w:tcW w:type="dxa" w:w="2268"/>
          </w:tcPr>
          <w:p>
            <w:r>
              <w:rPr>
                <w:rFonts w:ascii="Times New Roman" w:hAnsi="Times New Roman"/>
                <w:sz w:val="20"/>
              </w:rPr>
              <w:t>Naturalistisch-skulptural</w:t>
            </w:r>
          </w:p>
        </w:tc>
        <w:tc>
          <w:tcPr>
            <w:tcW w:type="dxa" w:w="2268"/>
          </w:tcPr>
          <w:p>
            <w:r>
              <w:rPr>
                <w:rFonts w:ascii="Times New Roman" w:hAnsi="Times New Roman"/>
                <w:sz w:val="20"/>
              </w:rPr>
              <w:t>Grundverschieden</w:t>
            </w:r>
          </w:p>
        </w:tc>
      </w:tr>
      <w:tr>
        <w:tc>
          <w:tcPr>
            <w:tcW w:type="dxa" w:w="2268"/>
          </w:tcPr>
          <w:p>
            <w:r>
              <w:rPr>
                <w:rFonts w:ascii="Times New Roman" w:hAnsi="Times New Roman"/>
                <w:sz w:val="20"/>
              </w:rPr>
              <w:t>Materialwiedergabe</w:t>
            </w:r>
          </w:p>
        </w:tc>
        <w:tc>
          <w:tcPr>
            <w:tcW w:type="dxa" w:w="2268"/>
          </w:tcPr>
          <w:p>
            <w:r>
              <w:rPr>
                <w:rFonts w:ascii="Times New Roman" w:hAnsi="Times New Roman"/>
                <w:sz w:val="20"/>
              </w:rPr>
              <w:t>Nicht erkennbar (sw-Foto)</w:t>
            </w:r>
          </w:p>
        </w:tc>
        <w:tc>
          <w:tcPr>
            <w:tcW w:type="dxa" w:w="2268"/>
          </w:tcPr>
          <w:p>
            <w:r>
              <w:rPr>
                <w:rFonts w:ascii="Times New Roman" w:hAnsi="Times New Roman"/>
                <w:sz w:val="20"/>
              </w:rPr>
              <w:t>Typisches Gusseisen mit Patinierung</w:t>
            </w:r>
          </w:p>
        </w:tc>
        <w:tc>
          <w:tcPr>
            <w:tcW w:type="dxa" w:w="2268"/>
          </w:tcPr>
          <w:p/>
        </w:tc>
      </w:tr>
    </w:tbl>
    <w:p>
      <w:pPr>
        <w:pStyle w:val="Heading3"/>
      </w:pPr>
      <w:r>
        <w:rPr>
          <w:rFonts w:ascii="Times New Roman" w:hAnsi="Times New Roman"/>
        </w:rPr>
        <w:t>3.3 Rechtliche Bewertung</w:t>
      </w:r>
    </w:p>
    <w:p>
      <w:pPr>
        <w:jc w:val="left"/>
      </w:pPr>
      <w:r>
        <w:t>Ein schwarz-weiß Katalog aus dem Jahr 1962 ist in zweifacher Hinsicht kritisch zu prüfen:</w:t>
      </w:r>
    </w:p>
    <w:p>
      <w:pPr>
        <w:jc w:val="left"/>
      </w:pPr>
      <w:r>
        <w:rPr>
          <w:b/>
        </w:rPr>
        <w:t>a) Öffentliche Zugänglichkeit:</w:t>
      </w:r>
    </w:p>
    <w:p>
      <w:pPr>
        <w:jc w:val="left"/>
      </w:pPr>
      <w:r>
        <w:t>Es ist nicht belegt, dass der Katalog dem einschlägigen Fachkreis (hier: Gartendekorations-Hersteller und -Händler im europäischen Raum) tatsächlich bekannt war. Ein Werkskatalog eines kleinen französischen Gießereibetriebs aus den 1960er Jahren hatte typischerweise eine sehr begrenzte Verbreitung. Bouqart muss nachweisen, dass der Katalog über Frankreich hinaus verbreitet war. Bloßes Besitzen eines Katalogexemplars reicht nicht aus.</w:t>
      </w:r>
    </w:p>
    <w:p>
      <w:pPr>
        <w:jc w:val="left"/>
      </w:pPr>
      <w:r>
        <w:rPr>
          <w:b/>
        </w:rPr>
        <w:t>b) Formidentität oder Ähnlichkeit:</w:t>
      </w:r>
    </w:p>
    <w:p>
      <w:pPr>
        <w:jc w:val="left"/>
      </w:pPr>
      <w:r>
        <w:t>Der Vergleich der abgebildeten Form mit dem eingetragenen Geschmacksmuster zeigt erhebliche Unterschiede in allen wesentlichen Merkmalen. Die Form im Katalog ist eine generische, schematische Blüte; das eingetragene Geschmacksmuster ist eine individuell gestaltete, dreidimensionale Skulptur mit spezifischen Proportionen. Beim informierten Benutzer lösen beide Formen einen grundverschiedenen Gesamteindruck aus.</w:t>
      </w:r>
    </w:p>
    <w:p>
      <w:pPr>
        <w:pStyle w:val="Heading2"/>
      </w:pPr>
      <w:r>
        <w:rPr>
          <w:rFonts w:ascii="Times New Roman" w:hAnsi="Times New Roman"/>
        </w:rPr>
        <w:t>4. Gegenbeweismittel und Verteidigung</w:t>
      </w:r>
    </w:p>
    <w:p>
      <w:pPr>
        <w:pStyle w:val="Heading3"/>
      </w:pPr>
      <w:r>
        <w:rPr>
          <w:rFonts w:ascii="Times New Roman" w:hAnsi="Times New Roman"/>
        </w:rPr>
        <w:t>4.1 Beauftragung eines Designhistorikers</w:t>
      </w:r>
    </w:p>
    <w:p>
      <w:pPr>
        <w:jc w:val="left"/>
      </w:pPr>
      <w:r>
        <w:t>Es wurde Prof. Dr. Karola Stein-Weitmann, Kunsthistorikerin und Expertin für angewandte Kunst des 20. Jahrhunderts (Universität Stuttgart, Institut für Kunstgeschichte) mit einem Gutachten beauftragt. Das Gutachten soll folgende Fragen beantworten:</w:t>
      </w:r>
    </w:p>
    <w:p>
      <w:pPr>
        <w:pStyle w:val="ListNumber"/>
      </w:pPr>
      <w:r>
        <w:t>Gab es im Gartendeko-Bereich der 1960er Jahre verbreitete Eisenblumen-Formen, die dem Leichtenstein-Muster ähneln?</w:t>
      </w:r>
    </w:p>
    <w:p>
      <w:pPr>
        <w:pStyle w:val="ListNumber"/>
      </w:pPr>
      <w:r>
        <w:t>Ist das Lefèvre-Modell 47-B als Stand der Technik für Rosenbluete-Dekorationen im Jahr 2018 anzuerkennen?</w:t>
      </w:r>
    </w:p>
    <w:p>
      <w:pPr>
        <w:pStyle w:val="ListNumber"/>
      </w:pPr>
      <w:r>
        <w:t>Wie unterscheidet sich das Leichtenstein-Geschmacksmuster von der stilistischen Tradition der Eisenblumen-Fertigung?</w:t>
      </w:r>
    </w:p>
    <w:p>
      <w:pPr>
        <w:jc w:val="left"/>
      </w:pPr>
      <w:r>
        <w:t>Gutachtenlieferung: Juli 2026.</w:t>
      </w:r>
    </w:p>
    <w:p>
      <w:pPr>
        <w:pStyle w:val="Heading3"/>
      </w:pPr>
      <w:r>
        <w:rPr>
          <w:rFonts w:ascii="Times New Roman" w:hAnsi="Times New Roman"/>
        </w:rPr>
        <w:t>4.2 Nachweis beschränkter Verbreitung des Katalogs</w:t>
      </w:r>
    </w:p>
    <w:p>
      <w:pPr>
        <w:jc w:val="left"/>
      </w:pPr>
      <w:r>
        <w:t>Recherchiert werden soll:</w:t>
      </w:r>
    </w:p>
    <w:p>
      <w:pPr>
        <w:pStyle w:val="ListBullet"/>
      </w:pPr>
      <w:r>
        <w:t>Auflage des Lefèvre-Katalogs 1962 (Firmenarchive, sofern zugänglich; Lefèvre &amp; Cie. ist 1989 insolvent geworden)</w:t>
      </w:r>
    </w:p>
    <w:p>
      <w:pPr>
        <w:pStyle w:val="ListBullet"/>
      </w:pPr>
      <w:r>
        <w:t>Bekanntheit von Lefèvre im deutschen und europäischen Gartendeko-Handel der 1960er Jahre</w:t>
      </w:r>
    </w:p>
    <w:p>
      <w:pPr>
        <w:pStyle w:val="ListBullet"/>
      </w:pPr>
      <w:r>
        <w:t>Mögliche Archivspuren (Handelskammerarchive, Messeunterlagen)</w:t>
      </w:r>
    </w:p>
    <w:p>
      <w:pPr>
        <w:pStyle w:val="Heading3"/>
      </w:pPr>
      <w:r>
        <w:rPr>
          <w:rFonts w:ascii="Times New Roman" w:hAnsi="Times New Roman"/>
        </w:rPr>
        <w:t>4.3 Eigenartsanalyse (Zusatzargument)</w:t>
      </w:r>
    </w:p>
    <w:p>
      <w:pPr>
        <w:jc w:val="left"/>
      </w:pPr>
      <w:r>
        <w:t>Selbst wenn man die Neuheitsschädlichkeit des Lefèvre-Katalogs unterstellen würde, ist das Leichtenstein-Geschmacksmuster durch seine Eigenart (Art. 6 GGV) geschützt. Der Gestaltungsspielraum für Gartendekoration in Blumenform ist sehr groß; die konkrete Ausformung der Leichtenstein-Rosenbluete hebt sich erheblich von allem ab, was vor 2018 bekannt war.</w:t>
      </w:r>
    </w:p>
    <w:p>
      <w:pPr>
        <w:pStyle w:val="Heading2"/>
      </w:pPr>
      <w:r>
        <w:rPr>
          <w:rFonts w:ascii="Times New Roman" w:hAnsi="Times New Roman"/>
        </w:rPr>
        <w:t>5. Verfahrensstand und nächste Schritte</w:t>
      </w:r>
    </w:p>
    <w:p>
      <w:pPr>
        <w:jc w:val="left"/>
      </w:pPr>
      <w:r>
        <w:t>Das EUIPO-Nichtigkeitsverfahren gegen das Geschmacksmuster befindet sich noch in einem frühen Stadium (Einreichung des Antrags: Februar 2026; Stellungnahme der Markeninhaberin ausstehend). Im Gegensatz zur Marke, bei der bereits eine erstinstanzliche EUIPO-Entscheidung vorliegt, ist beim Geschmacksmuster noch keine Erstentscheidung ergangen.</w:t>
      </w:r>
    </w:p>
    <w:p>
      <w:pPr>
        <w:jc w:val="left"/>
      </w:pPr>
      <w:r>
        <w:rPr>
          <w:b/>
        </w:rPr>
        <w:t>Nächste Schritte:</w:t>
      </w:r>
    </w:p>
    <w:p>
      <w:pPr>
        <w:pStyle w:val="ListNumber"/>
      </w:pPr>
      <w:r>
        <w:t>Gutachten Prof. Stein-Weitmann abwarten (Juli 2026)</w:t>
      </w:r>
    </w:p>
    <w:p>
      <w:pPr>
        <w:pStyle w:val="ListNumber"/>
      </w:pPr>
      <w:r>
        <w:t>Verteidigungsschrift beim EUIPO einreichen (Frist: 30. August 2026)</w:t>
      </w:r>
    </w:p>
    <w:p>
      <w:pPr>
        <w:pStyle w:val="ListNumber"/>
      </w:pPr>
      <w:r>
        <w:t>Rechercheergebnisse zur Verbreitung des Lefèvre-Katalogs aufnehmen und auswerten</w:t>
      </w:r>
    </w:p>
    <w:p/>
    <w:p>
      <w:pPr>
        <w:jc w:val="left"/>
      </w:pPr>
      <w:r>
        <w:rPr>
          <w:b/>
        </w:rPr>
        <w:t>Erstellt von:</w:t>
      </w:r>
      <w:r>
        <w:t xml:space="preserve"> PA Dr. Volkmar Trautmann</w:t>
      </w:r>
    </w:p>
    <w:p>
      <w:pPr>
        <w:jc w:val="left"/>
      </w:pPr>
      <w:r>
        <w:rPr>
          <w:b/>
        </w:rPr>
        <w:t>Datum:</w:t>
      </w:r>
      <w:r>
        <w:t xml:space="preserve"> 25. Mai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