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13 — UWG-Verfahren OLG Karlsruhe 6 U 41/26: Rufausbeutung und Schleichwerbung</w:t>
      </w:r>
    </w:p>
    <w:p>
      <w:pPr>
        <w:jc w:val="left"/>
      </w:pPr>
      <w:r>
        <w:rPr>
          <w:b/>
        </w:rPr>
        <w:t>Bearbeiter:</w:t>
      </w:r>
      <w:r>
        <w:t xml:space="preserve"> RA Philipp Mertens-Waldhausen</w:t>
      </w:r>
    </w:p>
    <w:p>
      <w:pPr>
        <w:jc w:val="left"/>
      </w:pPr>
      <w:r>
        <w:rPr>
          <w:b/>
        </w:rPr>
        <w:t>Datum:</w:t>
      </w:r>
      <w:r>
        <w:t xml:space="preserve"> 15. Juni 2026</w:t>
      </w:r>
    </w:p>
    <w:p>
      <w:pPr>
        <w:jc w:val="left"/>
      </w:pPr>
      <w:r>
        <w:rPr>
          <w:b/>
        </w:rPr>
        <w:t>Aktenzeichen:</w:t>
      </w:r>
      <w:r>
        <w:t xml:space="preserve"> OLG Karlsruhe 6 U 41/26</w:t>
      </w:r>
    </w:p>
    <w:p>
      <w:pPr>
        <w:jc w:val="left"/>
      </w:pPr>
      <w:r>
        <w:rPr>
          <w:b/>
        </w:rPr>
        <w:t>Senat:</w:t>
      </w:r>
      <w:r>
        <w:t xml:space="preserve"> 6. Zivilsenat (Wettbewerbssachen)</w:t>
      </w:r>
    </w:p>
    <w:p/>
    <w:p>
      <w:pPr>
        <w:pStyle w:val="Heading2"/>
      </w:pPr>
      <w:r>
        <w:rPr>
          <w:rFonts w:ascii="Times New Roman" w:hAnsi="Times New Roman"/>
        </w:rPr>
        <w:t>1. Verfahrensgang</w:t>
      </w:r>
    </w:p>
    <w:p>
      <w:pPr>
        <w:jc w:val="left"/>
      </w:pPr>
      <w:r>
        <w:t>Die Klage der Leichtenstein Gartenkultur Manufaktur GmbH gegen Maximilian Huberth-Schwager (RosenGarten24.de) wurde zunächst beim LG München I erhoben (Az. 1 HKO 88/26, KfH). Das LG München I erkannte auf Unterlassung bezüglich der Schleichwerbung (Punkt 2 der Klageanträge), wies jedoch die Klage wegen Rufausbeutung (Punkt 1) mit der Begründung ab, der Beklagte habe lediglich eine zulässige vergleichende Werbung nach § 6 UWG betrieben. Beide Parteien legten Berufung ein; das Verfahren ist nunmehr beim OLG Karlsruhe unter Az. 6 U 41/26 anhängig.</w:t>
      </w:r>
    </w:p>
    <w:p>
      <w:pPr>
        <w:jc w:val="left"/>
      </w:pPr>
      <w:r>
        <w:rPr>
          <w:b/>
        </w:rPr>
        <w:t>Termin zur Berufungsverhandlung:</w:t>
      </w:r>
      <w:r>
        <w:t xml:space="preserve"> 22. Oktober 2026, 10:00 Uhr, OLG Karlsruhe, Waldstraße 16, 76133 Karlsruhe, Sitzungssaal 2.16.</w:t>
      </w:r>
    </w:p>
    <w:p>
      <w:pPr>
        <w:pStyle w:val="Heading2"/>
      </w:pPr>
      <w:r>
        <w:rPr>
          <w:rFonts w:ascii="Times New Roman" w:hAnsi="Times New Roman"/>
        </w:rPr>
        <w:t>2. Streitfragen im Berufungsverfahren</w:t>
      </w:r>
    </w:p>
    <w:p>
      <w:pPr>
        <w:pStyle w:val="Heading3"/>
      </w:pPr>
      <w:r>
        <w:rPr>
          <w:rFonts w:ascii="Times New Roman" w:hAnsi="Times New Roman"/>
        </w:rPr>
        <w:t>2.1 Berufung der Klägerin: Rufausbeutung</w:t>
      </w:r>
    </w:p>
    <w:p>
      <w:pPr>
        <w:jc w:val="left"/>
      </w:pPr>
      <w:r>
        <w:t>Das LG München I hat die Rufausbeutung nach § 4 Nr. 3 lit. b UWG mit dem Argument abgelehnt, eine vergleichende Werbung, die auf den Ruf eines Mitbewerbers Bezug nimmt, sei nach § 6 UWG grundsätzlich zulässig. Das Gericht hat jedoch übersehen, dass § 6 Abs. 2 Nr. 4 UWG die vergleichende Werbung ausdrücklich verbietet, wenn sie den Ruf der von einem Mitbewerber verwendeten Marke in unzulässiger Weise ausnutzt oder beeinträchtigt.</w:t>
      </w:r>
    </w:p>
    <w:p>
      <w:pPr>
        <w:jc w:val="left"/>
      </w:pPr>
      <w:r>
        <w:rPr>
          <w:b/>
        </w:rPr>
        <w:t>Berufungsbegründung der Klägerin (Kernargumente):</w:t>
      </w:r>
    </w:p>
    <w:p>
      <w:pPr>
        <w:jc w:val="left"/>
      </w:pPr>
      <w:r>
        <w:t>Erstens ist § 6 UWG keine generelle Erlaubnisnorm, die alle Bezugnahmen auf Mitbewerber legalisiert. § 6 Abs. 2 UWG stellt Anforderungen auf, die kumulativ erfüllt sein müssen. Die Posts von RosenGarten24.de erfüllen wegen der falschen Qualitätsbehauptungen (§ 6 Abs. 2 Nr. 2 UWG: Objektivität), der unlauteren Ausnutzung der Markenwertschätzung (§ 6 Abs. 2 Nr. 4 UWG) und der fehlenden Werbekennzeichnung (§ 6 Abs. 2 Nr. 1 UWG: Identifizierbarkeit als Werbung) bereits mehrere dieser Anforderungen nicht.</w:t>
      </w:r>
    </w:p>
    <w:p>
      <w:pPr>
        <w:jc w:val="left"/>
      </w:pPr>
      <w:r>
        <w:t>Zweitens ist die Äußerung „Gleiche Qualität, ein Zehntel des Preises!" keine neutrale Produkteigenschaft, sondern eine unwahre Tatsachenbehauptung. Die Qualität von Gusseisen-Produkten im Hochpreissegment ist mit Billigaluminium-Discounter-Ware nicht vergleichbar. Das LG München I hätte den Sachvortrag der Klägerin zur Qualitätsdifferenz nicht ignorieren dürfen.</w:t>
      </w:r>
    </w:p>
    <w:p>
      <w:pPr>
        <w:jc w:val="left"/>
      </w:pPr>
      <w:r>
        <w:t>Drittens liegt keine Meinungsäußerung (Art. 5 GG) vor, auf die sich der Beklagte beruft. Produktwerbung — auch wenn sie in subjektivem Tonfall verfasst ist — ist kommerzielles Handeln und unterliegt dem Lauterkeitsrecht.</w:t>
      </w:r>
    </w:p>
    <w:p>
      <w:pPr>
        <w:pStyle w:val="Heading3"/>
      </w:pPr>
      <w:r>
        <w:rPr>
          <w:rFonts w:ascii="Times New Roman" w:hAnsi="Times New Roman"/>
        </w:rPr>
        <w:t>2.2 Berufung des Beklagten: Schleichwerbung</w:t>
      </w:r>
    </w:p>
    <w:p>
      <w:pPr>
        <w:jc w:val="left"/>
      </w:pPr>
      <w:r>
        <w:t>Das LG München I hat dem Beklagten Recht verweigert und Schleichwerbung gemäß § 5a Abs. 4 UWG bejaht. Der Beklagte trägt in seiner Berufung vor, die Affiliate-Links seien für den Durchschnittsverbraucher als Werbung erkennbar gewesen, weil im Link-Text das Wort „Partnerlink" in Kleinbuchstaben gestanden habe.</w:t>
      </w:r>
    </w:p>
    <w:p>
      <w:pPr>
        <w:jc w:val="left"/>
      </w:pPr>
      <w:r>
        <w:rPr>
          <w:b/>
        </w:rPr>
        <w:t>Erwiderung der Klägerin:</w:t>
      </w:r>
    </w:p>
    <w:p>
      <w:pPr>
        <w:jc w:val="left"/>
      </w:pPr>
      <w:r>
        <w:t>Der BGH hat in Influencer I (GRUR 2021, 1400) und Influencer II (GRUR 2022, 163) unmissverständlich klargestellt, dass der kommerzielle Charakter durch klar sichtbare Bezeichnungen wie „WERBUNG" oder „Anzeige" kenntlich gemacht werden muss. Die Verwendung von „Partnerlink" in Kleinbuchstaben im URL genügt diesen Anforderungen nicht.</w:t>
      </w:r>
    </w:p>
    <w:p>
      <w:pPr>
        <w:pStyle w:val="Heading2"/>
      </w:pPr>
      <w:r>
        <w:rPr>
          <w:rFonts w:ascii="Times New Roman" w:hAnsi="Times New Roman"/>
        </w:rPr>
        <w:t>3. Kernfragen für das Berufungsgericht</w:t>
      </w:r>
    </w:p>
    <w:p>
      <w:pPr>
        <w:jc w:val="left"/>
      </w:pPr>
      <w:r>
        <w:t>Das OLG Karlsruhe wird sich voraussichtlich mit folgenden Rechtsfragen befassen: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Frage</w:t>
            </w:r>
          </w:p>
        </w:tc>
        <w:tc>
          <w:tcPr>
            <w:tcW w:type="dxa" w:w="3024"/>
          </w:tcPr>
          <w:p>
            <w:r>
              <w:rPr>
                <w:rFonts w:ascii="Times New Roman" w:hAnsi="Times New Roman"/>
                <w:b/>
                <w:sz w:val="20"/>
              </w:rPr>
              <w:t>Position Klägerin</w:t>
            </w:r>
          </w:p>
        </w:tc>
        <w:tc>
          <w:tcPr>
            <w:tcW w:type="dxa" w:w="3024"/>
          </w:tcPr>
          <w:p>
            <w:r>
              <w:rPr>
                <w:rFonts w:ascii="Times New Roman" w:hAnsi="Times New Roman"/>
                <w:b/>
                <w:sz w:val="20"/>
              </w:rPr>
              <w:t>Position Beklagter</w:t>
            </w:r>
          </w:p>
        </w:tc>
      </w:tr>
      <w:tr>
        <w:tc>
          <w:tcPr>
            <w:tcW w:type="dxa" w:w="3024"/>
          </w:tcPr>
          <w:p>
            <w:r>
              <w:rPr>
                <w:rFonts w:ascii="Times New Roman" w:hAnsi="Times New Roman"/>
                <w:sz w:val="20"/>
              </w:rPr>
              <w:t>Rufausbeutung nach § 4 Nr. 3 lit. b UWG</w:t>
            </w:r>
          </w:p>
        </w:tc>
        <w:tc>
          <w:tcPr>
            <w:tcW w:type="dxa" w:w="3024"/>
          </w:tcPr>
          <w:p>
            <w:r>
              <w:rPr>
                <w:rFonts w:ascii="Times New Roman" w:hAnsi="Times New Roman"/>
                <w:sz w:val="20"/>
              </w:rPr>
              <w:t>Bejaht: gezieltes Ausnutzen des Leichtenstein-Renommees</w:t>
            </w:r>
          </w:p>
        </w:tc>
        <w:tc>
          <w:tcPr>
            <w:tcW w:type="dxa" w:w="3024"/>
          </w:tcPr>
          <w:p>
            <w:r>
              <w:rPr>
                <w:rFonts w:ascii="Times New Roman" w:hAnsi="Times New Roman"/>
                <w:sz w:val="20"/>
              </w:rPr>
              <w:t>Verneint: zulässige vergleichende Werbung nach § 6 UWG</w:t>
            </w:r>
          </w:p>
        </w:tc>
      </w:tr>
      <w:tr>
        <w:tc>
          <w:tcPr>
            <w:tcW w:type="dxa" w:w="3024"/>
          </w:tcPr>
          <w:p>
            <w:r>
              <w:rPr>
                <w:rFonts w:ascii="Times New Roman" w:hAnsi="Times New Roman"/>
                <w:sz w:val="20"/>
              </w:rPr>
              <w:t>Schleichwerbung nach § 5a Abs. 4 UWG</w:t>
            </w:r>
          </w:p>
        </w:tc>
        <w:tc>
          <w:tcPr>
            <w:tcW w:type="dxa" w:w="3024"/>
          </w:tcPr>
          <w:p>
            <w:r>
              <w:rPr>
                <w:rFonts w:ascii="Times New Roman" w:hAnsi="Times New Roman"/>
                <w:sz w:val="20"/>
              </w:rPr>
              <w:t>Bejaht: keine ausreichende Werbekennzeichnung</w:t>
            </w:r>
          </w:p>
        </w:tc>
        <w:tc>
          <w:tcPr>
            <w:tcW w:type="dxa" w:w="3024"/>
          </w:tcPr>
          <w:p>
            <w:r>
              <w:rPr>
                <w:rFonts w:ascii="Times New Roman" w:hAnsi="Times New Roman"/>
                <w:sz w:val="20"/>
              </w:rPr>
              <w:t>Verneint: „Partnerlink" im URL ausreichend erkennbar</w:t>
            </w:r>
          </w:p>
        </w:tc>
      </w:tr>
      <w:tr>
        <w:tc>
          <w:tcPr>
            <w:tcW w:type="dxa" w:w="3024"/>
          </w:tcPr>
          <w:p>
            <w:r>
              <w:rPr>
                <w:rFonts w:ascii="Times New Roman" w:hAnsi="Times New Roman"/>
                <w:sz w:val="20"/>
              </w:rPr>
              <w:t>Irreführung nach § 5 Abs. 1 UWG</w:t>
            </w:r>
          </w:p>
        </w:tc>
        <w:tc>
          <w:tcPr>
            <w:tcW w:type="dxa" w:w="3024"/>
          </w:tcPr>
          <w:p>
            <w:r>
              <w:rPr>
                <w:rFonts w:ascii="Times New Roman" w:hAnsi="Times New Roman"/>
                <w:sz w:val="20"/>
              </w:rPr>
              <w:t>Bejaht: falsche Qualitätsbehauptungen</w:t>
            </w:r>
          </w:p>
        </w:tc>
        <w:tc>
          <w:tcPr>
            <w:tcW w:type="dxa" w:w="3024"/>
          </w:tcPr>
          <w:p>
            <w:r>
              <w:rPr>
                <w:rFonts w:ascii="Times New Roman" w:hAnsi="Times New Roman"/>
                <w:sz w:val="20"/>
              </w:rPr>
              <w:t>Verneint: subjektive Meinungsäußerung</w:t>
            </w:r>
          </w:p>
        </w:tc>
      </w:tr>
      <w:tr>
        <w:tc>
          <w:tcPr>
            <w:tcW w:type="dxa" w:w="3024"/>
          </w:tcPr>
          <w:p>
            <w:r>
              <w:rPr>
                <w:rFonts w:ascii="Times New Roman" w:hAnsi="Times New Roman"/>
                <w:sz w:val="20"/>
              </w:rPr>
              <w:t>Vergleichende Werbung nach § 6 UWG</w:t>
            </w:r>
          </w:p>
        </w:tc>
        <w:tc>
          <w:tcPr>
            <w:tcW w:type="dxa" w:w="3024"/>
          </w:tcPr>
          <w:p>
            <w:r>
              <w:rPr>
                <w:rFonts w:ascii="Times New Roman" w:hAnsi="Times New Roman"/>
                <w:sz w:val="20"/>
              </w:rPr>
              <w:t>Nicht privilegiert (§ 6 Abs. 2 UWG-Voraussetzungen nicht erfüllt)</w:t>
            </w:r>
          </w:p>
        </w:tc>
        <w:tc>
          <w:tcPr>
            <w:tcW w:type="dxa" w:w="3024"/>
          </w:tcPr>
          <w:p>
            <w:r>
              <w:rPr>
                <w:rFonts w:ascii="Times New Roman" w:hAnsi="Times New Roman"/>
                <w:sz w:val="20"/>
              </w:rPr>
              <w:t>Zulässige vergleichende Werbung</w:t>
            </w:r>
          </w:p>
        </w:tc>
      </w:tr>
    </w:tbl>
    <w:p>
      <w:pPr>
        <w:pStyle w:val="Heading2"/>
      </w:pPr>
      <w:r>
        <w:rPr>
          <w:rFonts w:ascii="Times New Roman" w:hAnsi="Times New Roman"/>
        </w:rPr>
        <w:t>4. Beweisantritte und Beweismittel</w:t>
      </w:r>
    </w:p>
    <w:p>
      <w:pPr>
        <w:pStyle w:val="Heading3"/>
      </w:pPr>
      <w:r>
        <w:rPr>
          <w:rFonts w:ascii="Times New Roman" w:hAnsi="Times New Roman"/>
        </w:rPr>
        <w:t>4.1 Durch Klägerin</w:t>
      </w:r>
    </w:p>
    <w:p>
      <w:pPr>
        <w:pStyle w:val="ListBullet"/>
      </w:pPr>
      <w:r>
        <w:t>Notarielle Beurkundung der Social-Media-Posts (Anlage K-1 bis K-20)</w:t>
      </w:r>
    </w:p>
    <w:p>
      <w:pPr>
        <w:pStyle w:val="ListBullet"/>
      </w:pPr>
      <w:r>
        <w:t>Screenshot-Dokumentation des Affiliate-Link-Systems (Anlage K-21)</w:t>
      </w:r>
    </w:p>
    <w:p>
      <w:pPr>
        <w:pStyle w:val="ListBullet"/>
      </w:pPr>
      <w:r>
        <w:t>Qualitätsgutachten: Materialgutachten eines Metallurgischen Labors (TÜV SÜD Product Service GmbH, München, Juni 2026) zum Qualitätsvergleich Gusseisen vs. Aluminium (Anlage K-22)</w:t>
      </w:r>
    </w:p>
    <w:p>
      <w:pPr>
        <w:pStyle w:val="ListBullet"/>
      </w:pPr>
      <w:r>
        <w:t>Zeuge: Franz-Josef Kellner (sah die Posts und kaufte deshalb nicht bei Leichtenstein, sondern bei FlowerWorld)</w:t>
      </w:r>
    </w:p>
    <w:p>
      <w:pPr>
        <w:pStyle w:val="Heading3"/>
      </w:pPr>
      <w:r>
        <w:rPr>
          <w:rFonts w:ascii="Times New Roman" w:hAnsi="Times New Roman"/>
        </w:rPr>
        <w:t>4.2 Durch Beklagten</w:t>
      </w:r>
    </w:p>
    <w:p>
      <w:pPr>
        <w:pStyle w:val="ListBullet"/>
      </w:pPr>
      <w:r>
        <w:t>Screenshot der eigenen Website mit angeblich erkennbarem Partnerlink-Hinweis</w:t>
      </w:r>
    </w:p>
    <w:p>
      <w:pPr>
        <w:pStyle w:val="ListBullet"/>
      </w:pPr>
      <w:r>
        <w:t>Zeuge: angebliche Redakteurin von RosenGarten24.de, Katharina Mooser-Lindner (München)</w:t>
      </w:r>
    </w:p>
    <w:p>
      <w:pPr>
        <w:pStyle w:val="Heading2"/>
      </w:pPr>
      <w:r>
        <w:rPr>
          <w:rFonts w:ascii="Times New Roman" w:hAnsi="Times New Roman"/>
        </w:rPr>
        <w:t>5. Schadensposition und Streitwert</w:t>
      </w:r>
    </w:p>
    <w:p>
      <w:pPr>
        <w:jc w:val="left"/>
      </w:pPr>
      <w:r>
        <w:t>Der Streitwert im UWG-Verfahren wurde auf 50.000 EUR festgesetzt. Der geltend gemachte Schaden umfasst:</w:t>
      </w:r>
    </w:p>
    <w:p>
      <w:pPr>
        <w:pStyle w:val="ListBullet"/>
      </w:pPr>
      <w:r>
        <w:t>Imageschaden durch falsche Qualitätsbehauptungen: schwer zu beziffern</w:t>
      </w:r>
    </w:p>
    <w:p>
      <w:pPr>
        <w:pStyle w:val="ListBullet"/>
      </w:pPr>
      <w:r>
        <w:t>Entgangene Umsätze durch Weiterleitung von Kunden an FlowerWorld: geschätzt 15 bis 30 Stück pro Monat à ca. 200 EUR Deckungsbeitrag = 3.000 bis 6.000 EUR/Monat seit Februar 2026</w:t>
      </w:r>
    </w:p>
    <w:p>
      <w:pPr>
        <w:pStyle w:val="ListBullet"/>
      </w:pPr>
      <w:r>
        <w:t>Abmahn- und Verfahrenskosten: ca. 8.500 EUR (Gerichtskosten + Anwaltsgebühren LG München I + Berufungseinlegung)</w:t>
      </w:r>
    </w:p>
    <w:p>
      <w:pPr>
        <w:pStyle w:val="Heading2"/>
      </w:pPr>
      <w:r>
        <w:rPr>
          <w:rFonts w:ascii="Times New Roman" w:hAnsi="Times New Roman"/>
        </w:rPr>
        <w:t>6. Taktische Überlegungen</w:t>
      </w:r>
    </w:p>
    <w:p>
      <w:pPr>
        <w:jc w:val="left"/>
      </w:pPr>
      <w:r>
        <w:t>Das OLG Karlsruhe hat in vergleichbaren Influencer-Fällen (zuletzt OLG Karlsruhe GRUR-RR 2024, 89 — Fitnessblogger) strenge Anforderungen an die Werbekennzeichnung gestellt und ist insoweit mandantenfreundlich. Die Rufausbeutungsfrage ist rechtlich schwieriger, da das LG München I bereits gegenläufig entschieden hat; der Senat müsste das erstinstanzliche Urteil in diesem Punkt aufheben.</w:t>
      </w:r>
    </w:p>
    <w:p>
      <w:pPr>
        <w:jc w:val="left"/>
      </w:pPr>
      <w:r>
        <w:rPr>
          <w:b/>
        </w:rPr>
        <w:t>Empfehlung:</w:t>
      </w:r>
      <w:r>
        <w:t xml:space="preserve"> Primär auf Bestätigung des Schleichwerbungsurteils zielen und daneben den Rufausbeutungsanspruch weiterverfolgen. Alternativlösung: Vergleich mit Beklagtem (Unterlassungserklärung + Zahlung 3.000 EUR Schadenspauschale + Übernahme Abmahnkosten). Huberth-Schwager hat wirtschaftlich wenig zu gewinnen aus dem Verfahren.</w:t>
      </w:r>
    </w:p>
    <w:p/>
    <w:p>
      <w:pPr>
        <w:jc w:val="left"/>
      </w:pPr>
      <w:r>
        <w:rPr>
          <w:b/>
        </w:rPr>
        <w:t>Erstellt von:</w:t>
      </w:r>
      <w:r>
        <w:t xml:space="preserve"> RA Philipp Mertens-Waldhausen</w:t>
      </w:r>
    </w:p>
    <w:p>
      <w:pPr>
        <w:jc w:val="left"/>
      </w:pPr>
      <w:r>
        <w:rPr>
          <w:b/>
        </w:rPr>
        <w:t>Datum:</w:t>
      </w:r>
      <w:r>
        <w:t xml:space="preserve"> 15. Juni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