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Lizenzvertrag Fonderie Roussel SAS: Kündigung und Streitstand</w:t>
      </w:r>
    </w:p>
    <w:p>
      <w:pPr>
        <w:jc w:val="left"/>
      </w:pPr>
      <w:r>
        <w:rPr>
          <w:b/>
        </w:rPr>
        <w:t>Bearbeiter:</w:t>
      </w:r>
      <w:r>
        <w:t xml:space="preserve"> RA Philipp Mertens-Waldhausen</w:t>
      </w:r>
    </w:p>
    <w:p>
      <w:pPr>
        <w:jc w:val="left"/>
      </w:pPr>
      <w:r>
        <w:rPr>
          <w:b/>
        </w:rPr>
        <w:t>Datum:</w:t>
      </w:r>
      <w:r>
        <w:t xml:space="preserve"> 02. Juni 2026</w:t>
      </w:r>
    </w:p>
    <w:p>
      <w:pPr>
        <w:jc w:val="left"/>
      </w:pPr>
      <w:r>
        <w:rPr>
          <w:b/>
        </w:rPr>
        <w:t>Gegner:</w:t>
      </w:r>
      <w:r>
        <w:t xml:space="preserve"> Fonderie Roussel SAS, 8 Rue Jacquard, 42000 Saint-Étienne, Frankreich</w:t>
      </w:r>
    </w:p>
    <w:p/>
    <w:p>
      <w:pPr>
        <w:pStyle w:val="Heading2"/>
      </w:pPr>
      <w:r>
        <w:rPr>
          <w:rFonts w:ascii="Times New Roman" w:hAnsi="Times New Roman"/>
        </w:rPr>
        <w:t>1. Hintergrund: Der Lizenzvertrag</w:t>
      </w:r>
    </w:p>
    <w:p>
      <w:pPr>
        <w:pStyle w:val="Heading3"/>
      </w:pPr>
      <w:r>
        <w:rPr>
          <w:rFonts w:ascii="Times New Roman" w:hAnsi="Times New Roman"/>
        </w:rPr>
        <w:t>1.1 Vertragsgegenstand</w:t>
      </w:r>
    </w:p>
    <w:p>
      <w:pPr>
        <w:jc w:val="left"/>
      </w:pPr>
      <w:r>
        <w:t>Die Leichtenstein Gartenkultur Manufaktur GmbH (Lizenzgeberin) hatte am 12. März 2017 mit der Fonderie Roussel SAS (Lizenznehmer, Fonderie Roussel oder FR) einen Markenlizenz- und Produktionsvertrag abgeschlossen (nachfolgend „Lizenzvertrag"). Wesentliche Regelungen:</w:t>
      </w:r>
    </w:p>
    <w:p>
      <w:pPr>
        <w:pStyle w:val="ListBullet"/>
      </w:pPr>
      <w:r>
        <w:rPr>
          <w:b/>
        </w:rPr>
        <w:t>Lizenzgebiet:</w:t>
      </w:r>
      <w:r>
        <w:t xml:space="preserve"> Frankreich, Belgien, Luxemburg, Niederlande (Frankreich und Benelux)</w:t>
      </w:r>
    </w:p>
    <w:p>
      <w:pPr>
        <w:pStyle w:val="ListBullet"/>
      </w:pPr>
      <w:r>
        <w:rPr>
          <w:b/>
        </w:rPr>
        <w:t>Lizenzgegenstand:</w:t>
      </w:r>
      <w:r>
        <w:t xml:space="preserve"> Nutzung des EU-Geschmacksmusters CD 008 412 661-0001 sowie der designrechtlichen Gestaltungsmerkmale der Rosenbluete für die Fertigung und den Vertrieb einer eigenen Produktlinie unter der Bezeichnung „Fleur Leichtenstein"</w:t>
      </w:r>
    </w:p>
    <w:p>
      <w:pPr>
        <w:pStyle w:val="ListBullet"/>
      </w:pPr>
      <w:r>
        <w:rPr>
          <w:b/>
        </w:rPr>
        <w:t>Lizenzsatz:</w:t>
      </w:r>
      <w:r>
        <w:t xml:space="preserve"> 12 % des Nettoverkaufspreises je verkauftem Stück</w:t>
      </w:r>
    </w:p>
    <w:p>
      <w:pPr>
        <w:pStyle w:val="ListBullet"/>
      </w:pPr>
      <w:r>
        <w:rPr>
          <w:b/>
        </w:rPr>
        <w:t>Exklusivität:</w:t>
      </w:r>
      <w:r>
        <w:t xml:space="preserve"> Exklusivlizenz für das genannte Gebiet; die Lizenzgeberin verpflichtet sich, Dritte im Lizenzgebiet nicht zu beliefern</w:t>
      </w:r>
    </w:p>
    <w:p>
      <w:pPr>
        <w:pStyle w:val="ListBullet"/>
      </w:pPr>
      <w:r>
        <w:rPr>
          <w:b/>
        </w:rPr>
        <w:t>Mindestabnahme:</w:t>
      </w:r>
      <w:r>
        <w:t xml:space="preserve"> FR verpflichtet sich zur Herstellung von mindestens 1.500 Stück pro Jahr</w:t>
      </w:r>
    </w:p>
    <w:p>
      <w:pPr>
        <w:pStyle w:val="ListBullet"/>
      </w:pPr>
      <w:r>
        <w:rPr>
          <w:b/>
        </w:rPr>
        <w:t>Qualitätsstandards:</w:t>
      </w:r>
      <w:r>
        <w:t xml:space="preserve"> FR muss vorgegebene Materialspezifikationen einhalten (Grauguss GG-20, Oberflächenbehandlung nach Leichtenstein-Vorgaben)</w:t>
      </w:r>
    </w:p>
    <w:p>
      <w:pPr>
        <w:pStyle w:val="ListBullet"/>
      </w:pPr>
      <w:r>
        <w:rPr>
          <w:b/>
        </w:rPr>
        <w:t>Vertragsdauer:</w:t>
      </w:r>
      <w:r>
        <w:t xml:space="preserve"> Sieben Jahre (bis 11. März 2024), danach Verlängerung um je zwei Jahre, sofern keine Kündigung sechs Monate vor Ablauf</w:t>
      </w:r>
    </w:p>
    <w:p>
      <w:pPr>
        <w:pStyle w:val="ListBullet"/>
      </w:pPr>
      <w:r>
        <w:rPr>
          <w:b/>
        </w:rPr>
        <w:t>Nachvertragliches Wettbewerbsverbot:</w:t>
      </w:r>
      <w:r>
        <w:t xml:space="preserve"> 24 Monate nach Vertragsende, Gebiet Frankreich und Benelux, Verbot der Fertigung und des Vertriebs von Rosenbluete-ähnlichen Gartenskulpturen</w:t>
      </w:r>
    </w:p>
    <w:p>
      <w:pPr>
        <w:pStyle w:val="Heading3"/>
      </w:pPr>
      <w:r>
        <w:rPr>
          <w:rFonts w:ascii="Times New Roman" w:hAnsi="Times New Roman"/>
        </w:rPr>
        <w:t>1.2 Verlängerung und Vertragsprobleme</w:t>
      </w:r>
    </w:p>
    <w:p>
      <w:pPr>
        <w:jc w:val="left"/>
      </w:pPr>
      <w:r>
        <w:t>Der Lizenzvertrag wurde zum 11. März 2024 nicht fristgerecht gekündigt (versäumte Kündigung aufseiten der Lizenzgeberin) und verlängerte sich damit um zwei weitere Jahre bis 11. März 2026. In dieser Verlängerungsphase traten folgende Probleme auf:</w:t>
      </w:r>
    </w:p>
    <w:p>
      <w:pPr>
        <w:pStyle w:val="ListBullet"/>
      </w:pPr>
      <w:r>
        <w:rPr>
          <w:b/>
        </w:rPr>
        <w:t>Lizenzzahlungsrückstand:</w:t>
      </w:r>
      <w:r>
        <w:t xml:space="preserve"> Fonderie Roussel hat für das Jahr 2025 Lizenzzahlungen in Höhe von 38.400 EUR nicht gezahlt (fällig zum 31. März 2026 nach Jahresabrechnung).</w:t>
      </w:r>
    </w:p>
    <w:p>
      <w:pPr>
        <w:pStyle w:val="ListBullet"/>
      </w:pPr>
      <w:r>
        <w:rPr>
          <w:b/>
        </w:rPr>
        <w:t>Qualitätsverstöße:</w:t>
      </w:r>
      <w:r>
        <w:t xml:space="preserve"> Mindestens drei Produktionschargen aus 2025 (Chargen R2025-04, R2025-07, R2025-11) entsprachen nicht den Materialspezifikationen. FR verwendete Aluminiumlegierungen statt des vereinbarten Graugusses.</w:t>
      </w:r>
    </w:p>
    <w:p>
      <w:pPr>
        <w:pStyle w:val="ListBullet"/>
      </w:pPr>
      <w:r>
        <w:rPr>
          <w:b/>
        </w:rPr>
        <w:t>Überschreitung des Lizenzgebiets:</w:t>
      </w:r>
      <w:r>
        <w:t xml:space="preserve"> FR hat nachweislich Produkte über einen deutschen Online-Händler (Gartenwelt-Shop24.de) vertrieben, ohne Genehmigung der Lizenzgeberin.</w:t>
      </w:r>
    </w:p>
    <w:p>
      <w:pPr>
        <w:pStyle w:val="Heading2"/>
      </w:pPr>
      <w:r>
        <w:rPr>
          <w:rFonts w:ascii="Times New Roman" w:hAnsi="Times New Roman"/>
        </w:rPr>
        <w:t>2. Kündigung des Lizenzvertrags</w:t>
      </w:r>
    </w:p>
    <w:p>
      <w:pPr>
        <w:pStyle w:val="Heading3"/>
      </w:pPr>
      <w:r>
        <w:rPr>
          <w:rFonts w:ascii="Times New Roman" w:hAnsi="Times New Roman"/>
        </w:rPr>
        <w:t>2.1 Außerordentliche Kündigung aus wichtigem Grund</w:t>
      </w:r>
    </w:p>
    <w:p>
      <w:pPr>
        <w:jc w:val="left"/>
      </w:pPr>
      <w:r>
        <w:t>Mit Schreiben vom 15. Februar 2026 (Einschreiben, Zustellung 18. Februar 2026 per LRAR — Lettre Recommandée avec Accusé de Réception) hat die Leichtenstein Gartenkultur Manufaktur GmbH den Lizenzvertrag außerordentlich aus wichtigem Grund gekündigt (§ 314 BGB analog, da Lizenzverträge im deutschen Recht keine spezifische gesetzliche Kündigungsregelung haben; das Vertragstatut ist nach Parteiwahl deutsches Recht).</w:t>
      </w:r>
    </w:p>
    <w:p>
      <w:pPr>
        <w:jc w:val="left"/>
      </w:pPr>
      <w:r>
        <w:t>Die Kündigung stützte sich auf:</w:t>
      </w:r>
    </w:p>
    <w:p>
      <w:pPr>
        <w:pStyle w:val="ListNumber"/>
      </w:pPr>
      <w:r>
        <w:t>Nicht gezahlte Lizenzvergütung 2025 (38.400 EUR, trotz Mahnung vom 15. Januar 2026 und 01. Februar 2026 nicht beglichen)</w:t>
      </w:r>
    </w:p>
    <w:p>
      <w:pPr>
        <w:pStyle w:val="ListNumber"/>
      </w:pPr>
      <w:r>
        <w:t>Verwendung nicht genehmigter Materialien (drei Chargen 2025)</w:t>
      </w:r>
    </w:p>
    <w:p>
      <w:pPr>
        <w:pStyle w:val="ListNumber"/>
      </w:pPr>
      <w:r>
        <w:t>Vertrieb außerhalb des Lizenzgebiets (Deutschland via Gartenwelt-Shop24.de)</w:t>
      </w:r>
    </w:p>
    <w:p>
      <w:pPr>
        <w:pStyle w:val="Heading3"/>
      </w:pPr>
      <w:r>
        <w:rPr>
          <w:rFonts w:ascii="Times New Roman" w:hAnsi="Times New Roman"/>
        </w:rPr>
        <w:t>2.2 Reaktion Fonderie Roussel</w:t>
      </w:r>
    </w:p>
    <w:p>
      <w:pPr>
        <w:jc w:val="left"/>
      </w:pPr>
      <w:r>
        <w:t>Mit Schreiben vom 25. Februar 2026, vertreten durch Avocats Durand &amp; Vaillant, Lyon, hat FR:</w:t>
      </w:r>
    </w:p>
    <w:p>
      <w:pPr>
        <w:pStyle w:val="ListBullet"/>
      </w:pPr>
      <w:r>
        <w:t>Die Kündigung zurückgewiesen als „juridiquement infondée" (rechtlich unbegründet)</w:t>
      </w:r>
    </w:p>
    <w:p>
      <w:pPr>
        <w:pStyle w:val="ListBullet"/>
      </w:pPr>
      <w:r>
        <w:t>Bestritten, dass die Materialspezifikationen verbindlich seien (kein Anhang zum Vertrag „ausreichend konkretisiert")</w:t>
      </w:r>
    </w:p>
    <w:p>
      <w:pPr>
        <w:pStyle w:val="ListBullet"/>
      </w:pPr>
      <w:r>
        <w:t>Bestritten, dass der Vertrieb in Deutschland erfolgt sei (alternativer Vertrieb über Dritte ohne Kenntnisnahme)</w:t>
      </w:r>
    </w:p>
    <w:p>
      <w:pPr>
        <w:pStyle w:val="ListBullet"/>
      </w:pPr>
      <w:r>
        <w:t>Angeboten, den Zahlungsrückstand in Raten bis 30. Juni 2026 zu begleichen</w:t>
      </w:r>
    </w:p>
    <w:p>
      <w:pPr>
        <w:pStyle w:val="Heading2"/>
      </w:pPr>
      <w:r>
        <w:rPr>
          <w:rFonts w:ascii="Times New Roman" w:hAnsi="Times New Roman"/>
        </w:rPr>
        <w:t>3. Streitpunkte und Rechtslage</w:t>
      </w:r>
    </w:p>
    <w:p>
      <w:pPr>
        <w:pStyle w:val="Heading3"/>
      </w:pPr>
      <w:r>
        <w:rPr>
          <w:rFonts w:ascii="Times New Roman" w:hAnsi="Times New Roman"/>
        </w:rPr>
        <w:t>3.1 Wirksamkeit der außerordentlichen Kündigung</w:t>
      </w:r>
    </w:p>
    <w:p>
      <w:pPr>
        <w:jc w:val="left"/>
      </w:pPr>
      <w:r>
        <w:t>Die außerordentliche Kündigung eines Lizenzvertrags aus wichtigem Grund ist zulässig, wenn dem Kündigenden unter Berücksichtigung aller Umstände und unter Abwägung der Interessen beider Parteien die Fortsetzung des Vertrags bis zur vereinbarten Beendigung oder zum Ablauf einer Kündigungsfrist nicht zugemutet werden kann (§ 314 Abs. 1 BGB).</w:t>
      </w:r>
    </w:p>
    <w:p>
      <w:pPr>
        <w:jc w:val="left"/>
      </w:pPr>
      <w:r>
        <w:rPr>
          <w:b/>
        </w:rPr>
        <w:t>Zahlungsrückstand:</w:t>
      </w:r>
      <w:r>
        <w:t xml:space="preserve"> Ein Zahlungsrückstand von 38.400 EUR über mehr als drei Monate nach Fälligkeit, nach zwei Mahnungen, rechtfertigt eine außerordentliche Kündigung. Vergleichbar: BGH NJW 2011, 1874 — erhebliche Zahlungsrückstände bei Lizenzverträgen.</w:t>
      </w:r>
    </w:p>
    <w:p>
      <w:pPr>
        <w:jc w:val="left"/>
      </w:pPr>
      <w:r>
        <w:rPr>
          <w:b/>
        </w:rPr>
        <w:t>Qualitätsverstöße:</w:t>
      </w:r>
      <w:r>
        <w:t xml:space="preserve"> Wenn der Lizenznehmer ohne Genehmigung von den vereinbarten Materialspezifikationen abweicht und damit das Qualitätsimage der Lizenzgeberin gefährdet, ist dies ein wichtiger Grund.</w:t>
      </w:r>
    </w:p>
    <w:p>
      <w:pPr>
        <w:jc w:val="left"/>
      </w:pPr>
      <w:r>
        <w:rPr>
          <w:b/>
        </w:rPr>
        <w:t>Gebietsverstöße:</w:t>
      </w:r>
      <w:r>
        <w:t xml:space="preserve"> Vertrieb außerhalb des Lizenzgebiets verletzt den exklusiven Lizenzvertrag fundamental.</w:t>
      </w:r>
    </w:p>
    <w:p>
      <w:pPr>
        <w:pStyle w:val="Heading3"/>
      </w:pPr>
      <w:r>
        <w:rPr>
          <w:rFonts w:ascii="Times New Roman" w:hAnsi="Times New Roman"/>
        </w:rPr>
        <w:t>3.2 Nachvertragliches Wettbewerbsverbot</w:t>
      </w:r>
    </w:p>
    <w:p>
      <w:pPr>
        <w:jc w:val="left"/>
      </w:pPr>
      <w:r>
        <w:t>Das nachvertragliche Wettbewerbsverbot (NWV) ist im Lizenzvertrag (§ 14) für 24 Monate nach Vertragsende vereinbart. Streitig ist:</w:t>
      </w:r>
    </w:p>
    <w:p>
      <w:pPr>
        <w:jc w:val="left"/>
      </w:pPr>
      <w:r>
        <w:t xml:space="preserve">a) </w:t>
      </w:r>
      <w:r>
        <w:rPr>
          <w:b/>
        </w:rPr>
        <w:t>Gilt das NWV ab dem Wirksamkeitsdatum der Kündigung (15. Februar 2026) oder erst ab dem Ablauf der ordentlichen Vertragslaufzeit (11. März 2026)?</w:t>
      </w:r>
      <w:r>
        <w:t xml:space="preserve"> Nach h.M. beginnt das NWV bei außerordentlicher Kündigung bereits ab dem Zeitpunkt der Kündigungswirkung.</w:t>
      </w:r>
    </w:p>
    <w:p>
      <w:pPr>
        <w:jc w:val="left"/>
      </w:pPr>
      <w:r>
        <w:t xml:space="preserve">b) </w:t>
      </w:r>
      <w:r>
        <w:rPr>
          <w:b/>
        </w:rPr>
        <w:t>Ist das NWV wirksam?</w:t>
      </w:r>
      <w:r>
        <w:t xml:space="preserve"> Im Hinblick auf den kartellrechtlichen Rahmen (Art. 101 AEUV i.V.m. Vertikal-GVO) ist ein 24-monatiges NWV bei exklusiven Lizenzverträgen grundsätzlich mit dem Freistellungsprivileg der Vertikal-GVO vereinbar, sofern die übrigen Anforderungen erfüllt sind.</w:t>
      </w:r>
    </w:p>
    <w:p>
      <w:pPr>
        <w:jc w:val="left"/>
      </w:pPr>
      <w:r>
        <w:t xml:space="preserve">c) </w:t>
      </w:r>
      <w:r>
        <w:rPr>
          <w:b/>
        </w:rPr>
        <w:t>Entschädigungspflicht?</w:t>
      </w:r>
      <w:r>
        <w:t xml:space="preserve"> Das NWV sieht keine Karenzentschädigung vor. Im französischen Arbeitsrecht wäre eine solche Pflicht unabdingbar; im deutschen Vertragsrecht bei B2B-Verträgen ist keine zwingende Entschädigungspflicht vorgesehen. Da Vertragsstatut deutsches Recht ist, entfällt eine obligatorische Karenzentschädigung.</w:t>
      </w:r>
    </w:p>
    <w:p>
      <w:pPr>
        <w:pStyle w:val="Heading3"/>
      </w:pPr>
      <w:r>
        <w:rPr>
          <w:rFonts w:ascii="Times New Roman" w:hAnsi="Times New Roman"/>
        </w:rPr>
        <w:t>3.3 Restbestand 4.200 Stück</w:t>
      </w:r>
    </w:p>
    <w:p>
      <w:pPr>
        <w:jc w:val="left"/>
      </w:pPr>
      <w:r>
        <w:t>FR behauptet, zum Zeitpunkt der Kündigung einen Restbestand von 4.200 noch nicht verkauften Exemplaren der Fleur Leichtenstein zu halten. FR möchte diesen Restbestand noch abverkaufen, auch nachdem die Kündigung wirksam geworden ist.</w:t>
      </w:r>
    </w:p>
    <w:p>
      <w:pPr>
        <w:jc w:val="left"/>
      </w:pPr>
      <w:r>
        <w:rPr>
          <w:b/>
        </w:rPr>
        <w:t>Position der Mandantin:</w:t>
      </w:r>
    </w:p>
    <w:p>
      <w:pPr>
        <w:jc w:val="left"/>
      </w:pPr>
      <w:r>
        <w:t>Nach Wirksamwerden der außerordentlichen Kündigung darf FR keine weiteren Exemplare vertreiben. Das Recht zum Abverkauf eines Restbestands nach Beendigung des Lizenzvertrags ist weder im Vertrag geregelt noch ergibt es sich aus dem allgemeinen Markenrecht. § 24 MarkenG (Erschöpfung) greift nur für Waren, die die Markeninhaberin selbst oder mit ihrer Zustimmung in Verkehr gebracht hat — ein Lizenznehmer nach Vertragsende ist keine solche Person.</w:t>
      </w:r>
    </w:p>
    <w:p>
      <w:pPr>
        <w:jc w:val="left"/>
      </w:pPr>
      <w:r>
        <w:rPr>
          <w:b/>
        </w:rPr>
        <w:t>Position Fonderie Roussel:</w:t>
      </w:r>
    </w:p>
    <w:p>
      <w:pPr>
        <w:jc w:val="left"/>
      </w:pPr>
      <w:r>
        <w:t>FR beruft sich auf Treu und Glauben (§ 242 BGB): Es sei grob unbillig, die investierten Kosten für die 4.200 Einheiten zu verlieren, wenn Leichtenstein die Kündigung ohne ausreichenden Grund ausgesprochen habe.</w:t>
      </w:r>
    </w:p>
    <w:p/>
    <w:p>
      <w:pPr>
        <w:jc w:val="left"/>
      </w:pPr>
      <w:r>
        <w:rPr>
          <w:b/>
        </w:rPr>
        <w:t>Erstellt von:</w:t>
      </w:r>
      <w:r>
        <w:t xml:space="preserve"> RA Philipp Mertens-Waldhausen</w:t>
      </w:r>
    </w:p>
    <w:p>
      <w:pPr>
        <w:jc w:val="left"/>
      </w:pPr>
      <w:r>
        <w:rPr>
          <w:b/>
        </w:rPr>
        <w:t>Datum:</w:t>
      </w:r>
      <w:r>
        <w:t xml:space="preserve"> 02. Juni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