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17 — EUIPO-Verteidigungsstrategie: Nachweis der Verkehrsdurchsetzung</w:t>
      </w:r>
    </w:p>
    <w:p>
      <w:pPr>
        <w:jc w:val="left"/>
      </w:pPr>
      <w:r>
        <w:rPr>
          <w:b/>
        </w:rPr>
        <w:t>Bearbeiter:</w:t>
      </w:r>
      <w:r>
        <w:t xml:space="preserve"> PA Dr. Volkmar Trautmann</w:t>
      </w:r>
    </w:p>
    <w:p>
      <w:pPr>
        <w:jc w:val="left"/>
      </w:pPr>
      <w:r>
        <w:rPr>
          <w:b/>
        </w:rPr>
        <w:t>Datum:</w:t>
      </w:r>
      <w:r>
        <w:t xml:space="preserve"> 30. Mai 2026</w:t>
      </w:r>
    </w:p>
    <w:p>
      <w:pPr>
        <w:jc w:val="left"/>
      </w:pPr>
      <w:r>
        <w:rPr>
          <w:b/>
        </w:rPr>
        <w:t>Verfahren:</w:t>
      </w:r>
      <w:r>
        <w:t xml:space="preserve"> EUIPO BoA R 1322/26-2 (Ergänzung zur Beschwerdegegenschrift)</w:t>
      </w:r>
    </w:p>
    <w:p/>
    <w:p>
      <w:pPr>
        <w:pStyle w:val="Heading2"/>
      </w:pPr>
      <w:r>
        <w:rPr>
          <w:rFonts w:ascii="Times New Roman" w:hAnsi="Times New Roman"/>
        </w:rPr>
        <w:t>1. Bedeutung der Verkehrsdurchsetzung im vorliegenden Verfahren</w:t>
      </w:r>
    </w:p>
    <w:p>
      <w:pPr>
        <w:jc w:val="left"/>
      </w:pPr>
      <w:r>
        <w:t>Die Mandantin hat die 3D-Marke im Jahr 2019 aufgrund originärer Unterscheidungskraft eingetragen erhalten. Im Nichtigkeitsverfahren ist Bouqart die Beweislast dafür auferlegt, dass die eingetragene Marke von Anfang an nicht unterscheidungskräftig war. Die Markeninhaberin kann der Nichtigkeitserklärung dadurch begegnen, dass sie nachweist, entweder:</w:t>
      </w:r>
    </w:p>
    <w:p>
      <w:pPr>
        <w:jc w:val="left"/>
      </w:pPr>
      <w:r>
        <w:t>(a) dass die Marke im Eintragungszeitpunkt originär unterscheidungskräftig war (Primärargument), oder</w:t>
      </w:r>
    </w:p>
    <w:p>
      <w:pPr>
        <w:jc w:val="left"/>
      </w:pPr>
      <w:r>
        <w:t>(b) dass die Marke jedenfalls im Zeitpunkt der EUIPO-Entscheidung durch Benutzung Unterscheidungskraft erworben hat (Art. 7 Abs. 3 UMV — Verkehrsdurchsetzung).</w:t>
      </w:r>
    </w:p>
    <w:p>
      <w:pPr>
        <w:jc w:val="left"/>
      </w:pPr>
      <w:r>
        <w:t>Das vorliegende Aktenstück dokumentiert die Nachweise für den Hilfsstandpunkt (b) — Verkehrsdurchsetzung.</w:t>
      </w:r>
    </w:p>
    <w:p>
      <w:pPr>
        <w:pStyle w:val="Heading2"/>
      </w:pPr>
      <w:r>
        <w:rPr>
          <w:rFonts w:ascii="Times New Roman" w:hAnsi="Times New Roman"/>
        </w:rPr>
        <w:t>2. Anforderungen an den Nachweis der Verkehrsdurchsetzung nach Art. 7 Abs. 3 UMV</w:t>
      </w:r>
    </w:p>
    <w:p>
      <w:pPr>
        <w:pStyle w:val="Heading3"/>
      </w:pPr>
      <w:r>
        <w:rPr>
          <w:rFonts w:ascii="Times New Roman" w:hAnsi="Times New Roman"/>
        </w:rPr>
        <w:t>2.1 Maßgeblicher Zeitpunkt und Gebiet</w:t>
      </w:r>
    </w:p>
    <w:p>
      <w:pPr>
        <w:jc w:val="left"/>
      </w:pPr>
      <w:r>
        <w:t>Der relevante Zeitpunkt für die Verkehrsdurchsetzung ist grundsätzlich der Anmeldezeitpunkt (22. Juni 2019). Allerdings hat das EuGH in neuerer Rechtsprechung klargestellt, dass auch spätere Beweise zulässig sind, sofern sie Rückschlüsse auf die Marktlage zum Anmeldezeitpunkt erlauben (EuGH C-218/01 — Henkel; EuG T-262/04 — BIC).</w:t>
      </w:r>
    </w:p>
    <w:p>
      <w:pPr>
        <w:jc w:val="left"/>
      </w:pPr>
      <w:r>
        <w:t>Das maßgebliche Gebiet ist die gesamte EU. Es genügt jedoch, wenn die Verkehrsdurchsetzung in einem wesentlichen Teil der EU nachgewiesen ist.</w:t>
      </w:r>
    </w:p>
    <w:p>
      <w:pPr>
        <w:pStyle w:val="Heading3"/>
      </w:pPr>
      <w:r>
        <w:rPr>
          <w:rFonts w:ascii="Times New Roman" w:hAnsi="Times New Roman"/>
        </w:rPr>
        <w:t>2.2 Nachweismittel</w:t>
      </w:r>
    </w:p>
    <w:p>
      <w:pPr>
        <w:jc w:val="left"/>
      </w:pPr>
      <w:r>
        <w:t>Typischerweise werden folgende Mittel eingesetzt:</w:t>
      </w:r>
    </w:p>
    <w:p>
      <w:pPr>
        <w:pStyle w:val="ListBullet"/>
      </w:pPr>
      <w:r>
        <w:t>Demoskopische Gutachten (consumer surveys)</w:t>
      </w:r>
    </w:p>
    <w:p>
      <w:pPr>
        <w:pStyle w:val="ListBullet"/>
      </w:pPr>
      <w:r>
        <w:t>Umsatz- und Marktanteilsdaten</w:t>
      </w:r>
    </w:p>
    <w:p>
      <w:pPr>
        <w:pStyle w:val="ListBullet"/>
      </w:pPr>
      <w:r>
        <w:t>Werbeinvestitionen</w:t>
      </w:r>
    </w:p>
    <w:p>
      <w:pPr>
        <w:pStyle w:val="ListBullet"/>
      </w:pPr>
      <w:r>
        <w:t>Länge und Intensität der Benutzung</w:t>
      </w:r>
    </w:p>
    <w:p>
      <w:pPr>
        <w:pStyle w:val="ListBullet"/>
      </w:pPr>
      <w:r>
        <w:t>Presseberichte und Auszeichnungen</w:t>
      </w:r>
    </w:p>
    <w:p>
      <w:pPr>
        <w:pStyle w:val="ListBullet"/>
      </w:pPr>
      <w:r>
        <w:t>Ausstellungsnachweise</w:t>
      </w:r>
    </w:p>
    <w:p>
      <w:pPr>
        <w:pStyle w:val="ListBullet"/>
      </w:pPr>
      <w:r>
        <w:t>Händlerbefragungen</w:t>
      </w:r>
    </w:p>
    <w:p>
      <w:pPr>
        <w:pStyle w:val="Heading2"/>
      </w:pPr>
      <w:r>
        <w:rPr>
          <w:rFonts w:ascii="Times New Roman" w:hAnsi="Times New Roman"/>
        </w:rPr>
        <w:t>3. Eingereichte Nachweise (Anlage M zur Beschwerdegegenschrift)</w:t>
      </w:r>
    </w:p>
    <w:p>
      <w:pPr>
        <w:pStyle w:val="Heading3"/>
      </w:pPr>
      <w:r>
        <w:rPr>
          <w:rFonts w:ascii="Times New Roman" w:hAnsi="Times New Roman"/>
        </w:rPr>
        <w:t>3.1 Demoskopisches Gutachten GfK SE</w:t>
      </w:r>
    </w:p>
    <w:p>
      <w:pPr>
        <w:jc w:val="left"/>
      </w:pPr>
      <w:r>
        <w:rPr>
          <w:b/>
        </w:rPr>
        <w:t>Gutachten:</w:t>
      </w:r>
      <w:r>
        <w:t xml:space="preserve"> GfK SE, Nürnberg, Durchführungszeitraum April–Mai 2026</w:t>
      </w:r>
    </w:p>
    <w:p>
      <w:pPr>
        <w:jc w:val="left"/>
      </w:pPr>
      <w:r>
        <w:rPr>
          <w:b/>
        </w:rPr>
        <w:t>Methode:</w:t>
      </w:r>
      <w:r>
        <w:t xml:space="preserve"> Online-Panel, n = 1.847 Befragte in D, A, CH; Zielgruppe: Gartenbesitzer mit nachgewiesener Gartendeko-Kaufhistorie (mind. 1 Kauf in 24 Monaten über 50 EUR)</w:t>
      </w:r>
    </w:p>
    <w:p>
      <w:pPr>
        <w:jc w:val="left"/>
      </w:pPr>
      <w:r>
        <w:rPr>
          <w:b/>
        </w:rPr>
        <w:t>Fragebogen-Auszug:</w:t>
      </w:r>
    </w:p>
    <w:p>
      <w:pPr>
        <w:jc w:val="left"/>
      </w:pPr>
      <w:r>
        <w:t>Frage 1 (offen): „Welche Marken oder Hersteller von dekorativen Metallblumen für den Garten kennen Sie?" — Leichtenstein wurde von 28 % der Befragten spontan genannt (Platz 1 unter allen genannten Marken in D/A/CH).</w:t>
      </w:r>
    </w:p>
    <w:p>
      <w:pPr>
        <w:jc w:val="left"/>
      </w:pPr>
      <w:r>
        <w:t>Frage 2 (gestützt, nach Vorlage des Markenbildes): „Kennen Sie diese Form? Wenn ja, können Sie angeben, von welchem Hersteller diese Form stammt?" — 34 % identifizierten korrekt Leichtenstein; weitere 18 % nannten eine Premium-Marke aus dem Odenwald/Schwarzwald ohne Namensnennung; 9 % nannten andere Marken; 39 % konnten keinen Hersteller zuordnen.</w:t>
      </w:r>
    </w:p>
    <w:p>
      <w:pPr>
        <w:jc w:val="left"/>
      </w:pPr>
      <w:r>
        <w:rPr>
          <w:b/>
        </w:rPr>
        <w:t>Ergebnis-Summary:</w:t>
      </w:r>
      <w:r>
        <w:t xml:space="preserve"> 34 % korrekte Herkunftszuordnung + 18 % partielle Zuordnung = 52 % Verkehrsgeltung im weiteren Sinne. Nach EUIPO-Praxis (Richtwert: 50 % der Zielgruppe) reicht dies für den Nachweis der Verkehrsdurchsetzung aus.</w:t>
      </w:r>
    </w:p>
    <w:p>
      <w:pPr>
        <w:pStyle w:val="Heading3"/>
      </w:pPr>
      <w:r>
        <w:rPr>
          <w:rFonts w:ascii="Times New Roman" w:hAnsi="Times New Roman"/>
        </w:rPr>
        <w:t>3.2 Umsatz- und Vertriebsdaten (Anlage M-12)</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Jahr</w:t>
            </w:r>
          </w:p>
        </w:tc>
        <w:tc>
          <w:tcPr>
            <w:tcW w:type="dxa" w:w="1814"/>
          </w:tcPr>
          <w:p>
            <w:r>
              <w:rPr>
                <w:rFonts w:ascii="Times New Roman" w:hAnsi="Times New Roman"/>
                <w:b/>
                <w:sz w:val="20"/>
              </w:rPr>
              <w:t>Einheiten verkauft</w:t>
            </w:r>
          </w:p>
        </w:tc>
        <w:tc>
          <w:tcPr>
            <w:tcW w:type="dxa" w:w="1814"/>
          </w:tcPr>
          <w:p>
            <w:r>
              <w:rPr>
                <w:rFonts w:ascii="Times New Roman" w:hAnsi="Times New Roman"/>
                <w:b/>
                <w:sz w:val="20"/>
              </w:rPr>
              <w:t>Nettoumsatz EUR</w:t>
            </w:r>
          </w:p>
        </w:tc>
        <w:tc>
          <w:tcPr>
            <w:tcW w:type="dxa" w:w="1814"/>
          </w:tcPr>
          <w:p>
            <w:r>
              <w:rPr>
                <w:rFonts w:ascii="Times New Roman" w:hAnsi="Times New Roman"/>
                <w:b/>
                <w:sz w:val="20"/>
              </w:rPr>
              <w:t>Anteil Direktvertrieb</w:t>
            </w:r>
          </w:p>
        </w:tc>
        <w:tc>
          <w:tcPr>
            <w:tcW w:type="dxa" w:w="1814"/>
          </w:tcPr>
          <w:p>
            <w:r>
              <w:rPr>
                <w:rFonts w:ascii="Times New Roman" w:hAnsi="Times New Roman"/>
                <w:b/>
                <w:sz w:val="20"/>
              </w:rPr>
              <w:t>Anteil Fachhandel</w:t>
            </w:r>
          </w:p>
        </w:tc>
      </w:tr>
      <w:tr>
        <w:tc>
          <w:tcPr>
            <w:tcW w:type="dxa" w:w="1814"/>
          </w:tcPr>
          <w:p>
            <w:r>
              <w:rPr>
                <w:rFonts w:ascii="Times New Roman" w:hAnsi="Times New Roman"/>
                <w:sz w:val="20"/>
              </w:rPr>
              <w:t>2019</w:t>
            </w:r>
          </w:p>
        </w:tc>
        <w:tc>
          <w:tcPr>
            <w:tcW w:type="dxa" w:w="1814"/>
          </w:tcPr>
          <w:p>
            <w:r>
              <w:rPr>
                <w:rFonts w:ascii="Times New Roman" w:hAnsi="Times New Roman"/>
                <w:sz w:val="20"/>
              </w:rPr>
              <w:t>6.200</w:t>
            </w:r>
          </w:p>
        </w:tc>
        <w:tc>
          <w:tcPr>
            <w:tcW w:type="dxa" w:w="1814"/>
          </w:tcPr>
          <w:p>
            <w:r>
              <w:rPr>
                <w:rFonts w:ascii="Times New Roman" w:hAnsi="Times New Roman"/>
                <w:sz w:val="20"/>
              </w:rPr>
              <w:t>1.830.000</w:t>
            </w:r>
          </w:p>
        </w:tc>
        <w:tc>
          <w:tcPr>
            <w:tcW w:type="dxa" w:w="1814"/>
          </w:tcPr>
          <w:p>
            <w:r>
              <w:rPr>
                <w:rFonts w:ascii="Times New Roman" w:hAnsi="Times New Roman"/>
                <w:sz w:val="20"/>
              </w:rPr>
              <w:t>22 %</w:t>
            </w:r>
          </w:p>
        </w:tc>
        <w:tc>
          <w:tcPr>
            <w:tcW w:type="dxa" w:w="1814"/>
          </w:tcPr>
          <w:p>
            <w:r>
              <w:rPr>
                <w:rFonts w:ascii="Times New Roman" w:hAnsi="Times New Roman"/>
                <w:sz w:val="20"/>
              </w:rPr>
              <w:t>78 %</w:t>
            </w:r>
          </w:p>
        </w:tc>
      </w:tr>
      <w:tr>
        <w:tc>
          <w:tcPr>
            <w:tcW w:type="dxa" w:w="1814"/>
          </w:tcPr>
          <w:p>
            <w:r>
              <w:rPr>
                <w:rFonts w:ascii="Times New Roman" w:hAnsi="Times New Roman"/>
                <w:sz w:val="20"/>
              </w:rPr>
              <w:t>2020</w:t>
            </w:r>
          </w:p>
        </w:tc>
        <w:tc>
          <w:tcPr>
            <w:tcW w:type="dxa" w:w="1814"/>
          </w:tcPr>
          <w:p>
            <w:r>
              <w:rPr>
                <w:rFonts w:ascii="Times New Roman" w:hAnsi="Times New Roman"/>
                <w:sz w:val="20"/>
              </w:rPr>
              <w:t>5.900</w:t>
            </w:r>
          </w:p>
        </w:tc>
        <w:tc>
          <w:tcPr>
            <w:tcW w:type="dxa" w:w="1814"/>
          </w:tcPr>
          <w:p>
            <w:r>
              <w:rPr>
                <w:rFonts w:ascii="Times New Roman" w:hAnsi="Times New Roman"/>
                <w:sz w:val="20"/>
              </w:rPr>
              <w:t>1.750.000</w:t>
            </w:r>
          </w:p>
        </w:tc>
        <w:tc>
          <w:tcPr>
            <w:tcW w:type="dxa" w:w="1814"/>
          </w:tcPr>
          <w:p>
            <w:r>
              <w:rPr>
                <w:rFonts w:ascii="Times New Roman" w:hAnsi="Times New Roman"/>
                <w:sz w:val="20"/>
              </w:rPr>
              <w:t>28 %</w:t>
            </w:r>
          </w:p>
        </w:tc>
        <w:tc>
          <w:tcPr>
            <w:tcW w:type="dxa" w:w="1814"/>
          </w:tcPr>
          <w:p>
            <w:r>
              <w:rPr>
                <w:rFonts w:ascii="Times New Roman" w:hAnsi="Times New Roman"/>
                <w:sz w:val="20"/>
              </w:rPr>
              <w:t>72 %</w:t>
            </w:r>
          </w:p>
        </w:tc>
      </w:tr>
      <w:tr>
        <w:tc>
          <w:tcPr>
            <w:tcW w:type="dxa" w:w="1814"/>
          </w:tcPr>
          <w:p>
            <w:r>
              <w:rPr>
                <w:rFonts w:ascii="Times New Roman" w:hAnsi="Times New Roman"/>
                <w:sz w:val="20"/>
              </w:rPr>
              <w:t>2021</w:t>
            </w:r>
          </w:p>
        </w:tc>
        <w:tc>
          <w:tcPr>
            <w:tcW w:type="dxa" w:w="1814"/>
          </w:tcPr>
          <w:p>
            <w:r>
              <w:rPr>
                <w:rFonts w:ascii="Times New Roman" w:hAnsi="Times New Roman"/>
                <w:sz w:val="20"/>
              </w:rPr>
              <w:t>7.400</w:t>
            </w:r>
          </w:p>
        </w:tc>
        <w:tc>
          <w:tcPr>
            <w:tcW w:type="dxa" w:w="1814"/>
          </w:tcPr>
          <w:p>
            <w:r>
              <w:rPr>
                <w:rFonts w:ascii="Times New Roman" w:hAnsi="Times New Roman"/>
                <w:sz w:val="20"/>
              </w:rPr>
              <w:t>2.190.000</w:t>
            </w:r>
          </w:p>
        </w:tc>
        <w:tc>
          <w:tcPr>
            <w:tcW w:type="dxa" w:w="1814"/>
          </w:tcPr>
          <w:p>
            <w:r>
              <w:rPr>
                <w:rFonts w:ascii="Times New Roman" w:hAnsi="Times New Roman"/>
                <w:sz w:val="20"/>
              </w:rPr>
              <w:t>31 %</w:t>
            </w:r>
          </w:p>
        </w:tc>
        <w:tc>
          <w:tcPr>
            <w:tcW w:type="dxa" w:w="1814"/>
          </w:tcPr>
          <w:p>
            <w:r>
              <w:rPr>
                <w:rFonts w:ascii="Times New Roman" w:hAnsi="Times New Roman"/>
                <w:sz w:val="20"/>
              </w:rPr>
              <w:t>69 %</w:t>
            </w:r>
          </w:p>
        </w:tc>
      </w:tr>
      <w:tr>
        <w:tc>
          <w:tcPr>
            <w:tcW w:type="dxa" w:w="1814"/>
          </w:tcPr>
          <w:p>
            <w:r>
              <w:rPr>
                <w:rFonts w:ascii="Times New Roman" w:hAnsi="Times New Roman"/>
                <w:sz w:val="20"/>
              </w:rPr>
              <w:t>2022</w:t>
            </w:r>
          </w:p>
        </w:tc>
        <w:tc>
          <w:tcPr>
            <w:tcW w:type="dxa" w:w="1814"/>
          </w:tcPr>
          <w:p>
            <w:r>
              <w:rPr>
                <w:rFonts w:ascii="Times New Roman" w:hAnsi="Times New Roman"/>
                <w:sz w:val="20"/>
              </w:rPr>
              <w:t>8.100</w:t>
            </w:r>
          </w:p>
        </w:tc>
        <w:tc>
          <w:tcPr>
            <w:tcW w:type="dxa" w:w="1814"/>
          </w:tcPr>
          <w:p>
            <w:r>
              <w:rPr>
                <w:rFonts w:ascii="Times New Roman" w:hAnsi="Times New Roman"/>
                <w:sz w:val="20"/>
              </w:rPr>
              <w:t>2.390.000</w:t>
            </w:r>
          </w:p>
        </w:tc>
        <w:tc>
          <w:tcPr>
            <w:tcW w:type="dxa" w:w="1814"/>
          </w:tcPr>
          <w:p>
            <w:r>
              <w:rPr>
                <w:rFonts w:ascii="Times New Roman" w:hAnsi="Times New Roman"/>
                <w:sz w:val="20"/>
              </w:rPr>
              <w:t>35 %</w:t>
            </w:r>
          </w:p>
        </w:tc>
        <w:tc>
          <w:tcPr>
            <w:tcW w:type="dxa" w:w="1814"/>
          </w:tcPr>
          <w:p>
            <w:r>
              <w:rPr>
                <w:rFonts w:ascii="Times New Roman" w:hAnsi="Times New Roman"/>
                <w:sz w:val="20"/>
              </w:rPr>
              <w:t>65 %</w:t>
            </w:r>
          </w:p>
        </w:tc>
      </w:tr>
      <w:tr>
        <w:tc>
          <w:tcPr>
            <w:tcW w:type="dxa" w:w="1814"/>
          </w:tcPr>
          <w:p>
            <w:r>
              <w:rPr>
                <w:rFonts w:ascii="Times New Roman" w:hAnsi="Times New Roman"/>
                <w:sz w:val="20"/>
              </w:rPr>
              <w:t>2023</w:t>
            </w:r>
          </w:p>
        </w:tc>
        <w:tc>
          <w:tcPr>
            <w:tcW w:type="dxa" w:w="1814"/>
          </w:tcPr>
          <w:p>
            <w:r>
              <w:rPr>
                <w:rFonts w:ascii="Times New Roman" w:hAnsi="Times New Roman"/>
                <w:sz w:val="20"/>
              </w:rPr>
              <w:t>8.600</w:t>
            </w:r>
          </w:p>
        </w:tc>
        <w:tc>
          <w:tcPr>
            <w:tcW w:type="dxa" w:w="1814"/>
          </w:tcPr>
          <w:p>
            <w:r>
              <w:rPr>
                <w:rFonts w:ascii="Times New Roman" w:hAnsi="Times New Roman"/>
                <w:sz w:val="20"/>
              </w:rPr>
              <w:t>2.540.000</w:t>
            </w:r>
          </w:p>
        </w:tc>
        <w:tc>
          <w:tcPr>
            <w:tcW w:type="dxa" w:w="1814"/>
          </w:tcPr>
          <w:p>
            <w:r>
              <w:rPr>
                <w:rFonts w:ascii="Times New Roman" w:hAnsi="Times New Roman"/>
                <w:sz w:val="20"/>
              </w:rPr>
              <w:t>38 %</w:t>
            </w:r>
          </w:p>
        </w:tc>
        <w:tc>
          <w:tcPr>
            <w:tcW w:type="dxa" w:w="1814"/>
          </w:tcPr>
          <w:p>
            <w:r>
              <w:rPr>
                <w:rFonts w:ascii="Times New Roman" w:hAnsi="Times New Roman"/>
                <w:sz w:val="20"/>
              </w:rPr>
              <w:t>62 %</w:t>
            </w:r>
          </w:p>
        </w:tc>
      </w:tr>
      <w:tr>
        <w:tc>
          <w:tcPr>
            <w:tcW w:type="dxa" w:w="1814"/>
          </w:tcPr>
          <w:p>
            <w:r>
              <w:rPr>
                <w:rFonts w:ascii="Times New Roman" w:hAnsi="Times New Roman"/>
                <w:sz w:val="20"/>
              </w:rPr>
              <w:t>2024</w:t>
            </w:r>
          </w:p>
        </w:tc>
        <w:tc>
          <w:tcPr>
            <w:tcW w:type="dxa" w:w="1814"/>
          </w:tcPr>
          <w:p>
            <w:r>
              <w:rPr>
                <w:rFonts w:ascii="Times New Roman" w:hAnsi="Times New Roman"/>
                <w:sz w:val="20"/>
              </w:rPr>
              <w:t>8.800</w:t>
            </w:r>
          </w:p>
        </w:tc>
        <w:tc>
          <w:tcPr>
            <w:tcW w:type="dxa" w:w="1814"/>
          </w:tcPr>
          <w:p>
            <w:r>
              <w:rPr>
                <w:rFonts w:ascii="Times New Roman" w:hAnsi="Times New Roman"/>
                <w:sz w:val="20"/>
              </w:rPr>
              <w:t>2.320.000</w:t>
            </w:r>
          </w:p>
        </w:tc>
        <w:tc>
          <w:tcPr>
            <w:tcW w:type="dxa" w:w="1814"/>
          </w:tcPr>
          <w:p>
            <w:r>
              <w:rPr>
                <w:rFonts w:ascii="Times New Roman" w:hAnsi="Times New Roman"/>
                <w:sz w:val="20"/>
              </w:rPr>
              <w:t>41 %</w:t>
            </w:r>
          </w:p>
        </w:tc>
        <w:tc>
          <w:tcPr>
            <w:tcW w:type="dxa" w:w="1814"/>
          </w:tcPr>
          <w:p>
            <w:r>
              <w:rPr>
                <w:rFonts w:ascii="Times New Roman" w:hAnsi="Times New Roman"/>
                <w:sz w:val="20"/>
              </w:rPr>
              <w:t>59 %</w:t>
            </w:r>
          </w:p>
        </w:tc>
      </w:tr>
    </w:tbl>
    <w:p>
      <w:pPr>
        <w:jc w:val="left"/>
      </w:pPr>
      <w:r>
        <w:t>Quelle: Jahresabschlüsse der Leichtenstein Gartenkultur Manufaktur GmbH (Anlage M-12a bis M-12f), bestätigt durch Wirtschaftsprüfer Dr. Harald Ziegenfuß, Heidelberg.</w:t>
      </w:r>
    </w:p>
    <w:p>
      <w:pPr>
        <w:pStyle w:val="Heading3"/>
      </w:pPr>
      <w:r>
        <w:rPr>
          <w:rFonts w:ascii="Times New Roman" w:hAnsi="Times New Roman"/>
        </w:rPr>
        <w:t>3.3 Werbeinvestitionen (Anlage M-8 bis M-11)</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Jahr</w:t>
            </w:r>
          </w:p>
        </w:tc>
        <w:tc>
          <w:tcPr>
            <w:tcW w:type="dxa" w:w="1814"/>
          </w:tcPr>
          <w:p>
            <w:r>
              <w:rPr>
                <w:rFonts w:ascii="Times New Roman" w:hAnsi="Times New Roman"/>
                <w:b/>
                <w:sz w:val="20"/>
              </w:rPr>
              <w:t>Messekosten EUR</w:t>
            </w:r>
          </w:p>
        </w:tc>
        <w:tc>
          <w:tcPr>
            <w:tcW w:type="dxa" w:w="1814"/>
          </w:tcPr>
          <w:p>
            <w:r>
              <w:rPr>
                <w:rFonts w:ascii="Times New Roman" w:hAnsi="Times New Roman"/>
                <w:b/>
                <w:sz w:val="20"/>
              </w:rPr>
              <w:t>Online-Marketing EUR</w:t>
            </w:r>
          </w:p>
        </w:tc>
        <w:tc>
          <w:tcPr>
            <w:tcW w:type="dxa" w:w="1814"/>
          </w:tcPr>
          <w:p>
            <w:r>
              <w:rPr>
                <w:rFonts w:ascii="Times New Roman" w:hAnsi="Times New Roman"/>
                <w:b/>
                <w:sz w:val="20"/>
              </w:rPr>
              <w:t>Printmedien EUR</w:t>
            </w:r>
          </w:p>
        </w:tc>
        <w:tc>
          <w:tcPr>
            <w:tcW w:type="dxa" w:w="1814"/>
          </w:tcPr>
          <w:p>
            <w:r>
              <w:rPr>
                <w:rFonts w:ascii="Times New Roman" w:hAnsi="Times New Roman"/>
                <w:b/>
                <w:sz w:val="20"/>
              </w:rPr>
              <w:t>Gesamt EUR</w:t>
            </w:r>
          </w:p>
        </w:tc>
      </w:tr>
      <w:tr>
        <w:tc>
          <w:tcPr>
            <w:tcW w:type="dxa" w:w="1814"/>
          </w:tcPr>
          <w:p>
            <w:r>
              <w:rPr>
                <w:rFonts w:ascii="Times New Roman" w:hAnsi="Times New Roman"/>
                <w:sz w:val="20"/>
              </w:rPr>
              <w:t>2019</w:t>
            </w:r>
          </w:p>
        </w:tc>
        <w:tc>
          <w:tcPr>
            <w:tcW w:type="dxa" w:w="1814"/>
          </w:tcPr>
          <w:p>
            <w:r>
              <w:rPr>
                <w:rFonts w:ascii="Times New Roman" w:hAnsi="Times New Roman"/>
                <w:sz w:val="20"/>
              </w:rPr>
              <w:t>48.000</w:t>
            </w:r>
          </w:p>
        </w:tc>
        <w:tc>
          <w:tcPr>
            <w:tcW w:type="dxa" w:w="1814"/>
          </w:tcPr>
          <w:p>
            <w:r>
              <w:rPr>
                <w:rFonts w:ascii="Times New Roman" w:hAnsi="Times New Roman"/>
                <w:sz w:val="20"/>
              </w:rPr>
              <w:t>22.000</w:t>
            </w:r>
          </w:p>
        </w:tc>
        <w:tc>
          <w:tcPr>
            <w:tcW w:type="dxa" w:w="1814"/>
          </w:tcPr>
          <w:p>
            <w:r>
              <w:rPr>
                <w:rFonts w:ascii="Times New Roman" w:hAnsi="Times New Roman"/>
                <w:sz w:val="20"/>
              </w:rPr>
              <w:t>15.000</w:t>
            </w:r>
          </w:p>
        </w:tc>
        <w:tc>
          <w:tcPr>
            <w:tcW w:type="dxa" w:w="1814"/>
          </w:tcPr>
          <w:p>
            <w:r>
              <w:rPr>
                <w:rFonts w:ascii="Times New Roman" w:hAnsi="Times New Roman"/>
                <w:sz w:val="20"/>
              </w:rPr>
              <w:t>85.000</w:t>
            </w:r>
          </w:p>
        </w:tc>
      </w:tr>
      <w:tr>
        <w:tc>
          <w:tcPr>
            <w:tcW w:type="dxa" w:w="1814"/>
          </w:tcPr>
          <w:p>
            <w:r>
              <w:rPr>
                <w:rFonts w:ascii="Times New Roman" w:hAnsi="Times New Roman"/>
                <w:sz w:val="20"/>
              </w:rPr>
              <w:t>2020</w:t>
            </w:r>
          </w:p>
        </w:tc>
        <w:tc>
          <w:tcPr>
            <w:tcW w:type="dxa" w:w="1814"/>
          </w:tcPr>
          <w:p>
            <w:r>
              <w:rPr>
                <w:rFonts w:ascii="Times New Roman" w:hAnsi="Times New Roman"/>
                <w:sz w:val="20"/>
              </w:rPr>
              <w:t>12.000</w:t>
            </w:r>
          </w:p>
        </w:tc>
        <w:tc>
          <w:tcPr>
            <w:tcW w:type="dxa" w:w="1814"/>
          </w:tcPr>
          <w:p>
            <w:r>
              <w:rPr>
                <w:rFonts w:ascii="Times New Roman" w:hAnsi="Times New Roman"/>
                <w:sz w:val="20"/>
              </w:rPr>
              <w:t>38.000</w:t>
            </w:r>
          </w:p>
        </w:tc>
        <w:tc>
          <w:tcPr>
            <w:tcW w:type="dxa" w:w="1814"/>
          </w:tcPr>
          <w:p>
            <w:r>
              <w:rPr>
                <w:rFonts w:ascii="Times New Roman" w:hAnsi="Times New Roman"/>
                <w:sz w:val="20"/>
              </w:rPr>
              <w:t>8.000</w:t>
            </w:r>
          </w:p>
        </w:tc>
        <w:tc>
          <w:tcPr>
            <w:tcW w:type="dxa" w:w="1814"/>
          </w:tcPr>
          <w:p>
            <w:r>
              <w:rPr>
                <w:rFonts w:ascii="Times New Roman" w:hAnsi="Times New Roman"/>
                <w:sz w:val="20"/>
              </w:rPr>
              <w:t>58.000</w:t>
            </w:r>
          </w:p>
        </w:tc>
      </w:tr>
      <w:tr>
        <w:tc>
          <w:tcPr>
            <w:tcW w:type="dxa" w:w="1814"/>
          </w:tcPr>
          <w:p>
            <w:r>
              <w:rPr>
                <w:rFonts w:ascii="Times New Roman" w:hAnsi="Times New Roman"/>
                <w:sz w:val="20"/>
              </w:rPr>
              <w:t>2021</w:t>
            </w:r>
          </w:p>
        </w:tc>
        <w:tc>
          <w:tcPr>
            <w:tcW w:type="dxa" w:w="1814"/>
          </w:tcPr>
          <w:p>
            <w:r>
              <w:rPr>
                <w:rFonts w:ascii="Times New Roman" w:hAnsi="Times New Roman"/>
                <w:sz w:val="20"/>
              </w:rPr>
              <w:t>52.000</w:t>
            </w:r>
          </w:p>
        </w:tc>
        <w:tc>
          <w:tcPr>
            <w:tcW w:type="dxa" w:w="1814"/>
          </w:tcPr>
          <w:p>
            <w:r>
              <w:rPr>
                <w:rFonts w:ascii="Times New Roman" w:hAnsi="Times New Roman"/>
                <w:sz w:val="20"/>
              </w:rPr>
              <w:t>41.000</w:t>
            </w:r>
          </w:p>
        </w:tc>
        <w:tc>
          <w:tcPr>
            <w:tcW w:type="dxa" w:w="1814"/>
          </w:tcPr>
          <w:p>
            <w:r>
              <w:rPr>
                <w:rFonts w:ascii="Times New Roman" w:hAnsi="Times New Roman"/>
                <w:sz w:val="20"/>
              </w:rPr>
              <w:t>14.000</w:t>
            </w:r>
          </w:p>
        </w:tc>
        <w:tc>
          <w:tcPr>
            <w:tcW w:type="dxa" w:w="1814"/>
          </w:tcPr>
          <w:p>
            <w:r>
              <w:rPr>
                <w:rFonts w:ascii="Times New Roman" w:hAnsi="Times New Roman"/>
                <w:sz w:val="20"/>
              </w:rPr>
              <w:t>107.000</w:t>
            </w:r>
          </w:p>
        </w:tc>
      </w:tr>
      <w:tr>
        <w:tc>
          <w:tcPr>
            <w:tcW w:type="dxa" w:w="1814"/>
          </w:tcPr>
          <w:p>
            <w:r>
              <w:rPr>
                <w:rFonts w:ascii="Times New Roman" w:hAnsi="Times New Roman"/>
                <w:sz w:val="20"/>
              </w:rPr>
              <w:t>2022</w:t>
            </w:r>
          </w:p>
        </w:tc>
        <w:tc>
          <w:tcPr>
            <w:tcW w:type="dxa" w:w="1814"/>
          </w:tcPr>
          <w:p>
            <w:r>
              <w:rPr>
                <w:rFonts w:ascii="Times New Roman" w:hAnsi="Times New Roman"/>
                <w:sz w:val="20"/>
              </w:rPr>
              <w:t>56.000</w:t>
            </w:r>
          </w:p>
        </w:tc>
        <w:tc>
          <w:tcPr>
            <w:tcW w:type="dxa" w:w="1814"/>
          </w:tcPr>
          <w:p>
            <w:r>
              <w:rPr>
                <w:rFonts w:ascii="Times New Roman" w:hAnsi="Times New Roman"/>
                <w:sz w:val="20"/>
              </w:rPr>
              <w:t>48.000</w:t>
            </w:r>
          </w:p>
        </w:tc>
        <w:tc>
          <w:tcPr>
            <w:tcW w:type="dxa" w:w="1814"/>
          </w:tcPr>
          <w:p>
            <w:r>
              <w:rPr>
                <w:rFonts w:ascii="Times New Roman" w:hAnsi="Times New Roman"/>
                <w:sz w:val="20"/>
              </w:rPr>
              <w:t>18.000</w:t>
            </w:r>
          </w:p>
        </w:tc>
        <w:tc>
          <w:tcPr>
            <w:tcW w:type="dxa" w:w="1814"/>
          </w:tcPr>
          <w:p>
            <w:r>
              <w:rPr>
                <w:rFonts w:ascii="Times New Roman" w:hAnsi="Times New Roman"/>
                <w:sz w:val="20"/>
              </w:rPr>
              <w:t>122.000</w:t>
            </w:r>
          </w:p>
        </w:tc>
      </w:tr>
      <w:tr>
        <w:tc>
          <w:tcPr>
            <w:tcW w:type="dxa" w:w="1814"/>
          </w:tcPr>
          <w:p>
            <w:r>
              <w:rPr>
                <w:rFonts w:ascii="Times New Roman" w:hAnsi="Times New Roman"/>
                <w:sz w:val="20"/>
              </w:rPr>
              <w:t>2023</w:t>
            </w:r>
          </w:p>
        </w:tc>
        <w:tc>
          <w:tcPr>
            <w:tcW w:type="dxa" w:w="1814"/>
          </w:tcPr>
          <w:p>
            <w:r>
              <w:rPr>
                <w:rFonts w:ascii="Times New Roman" w:hAnsi="Times New Roman"/>
                <w:sz w:val="20"/>
              </w:rPr>
              <w:t>58.000</w:t>
            </w:r>
          </w:p>
        </w:tc>
        <w:tc>
          <w:tcPr>
            <w:tcW w:type="dxa" w:w="1814"/>
          </w:tcPr>
          <w:p>
            <w:r>
              <w:rPr>
                <w:rFonts w:ascii="Times New Roman" w:hAnsi="Times New Roman"/>
                <w:sz w:val="20"/>
              </w:rPr>
              <w:t>55.000</w:t>
            </w:r>
          </w:p>
        </w:tc>
        <w:tc>
          <w:tcPr>
            <w:tcW w:type="dxa" w:w="1814"/>
          </w:tcPr>
          <w:p>
            <w:r>
              <w:rPr>
                <w:rFonts w:ascii="Times New Roman" w:hAnsi="Times New Roman"/>
                <w:sz w:val="20"/>
              </w:rPr>
              <w:t>21.000</w:t>
            </w:r>
          </w:p>
        </w:tc>
        <w:tc>
          <w:tcPr>
            <w:tcW w:type="dxa" w:w="1814"/>
          </w:tcPr>
          <w:p>
            <w:r>
              <w:rPr>
                <w:rFonts w:ascii="Times New Roman" w:hAnsi="Times New Roman"/>
                <w:sz w:val="20"/>
              </w:rPr>
              <w:t>134.000</w:t>
            </w:r>
          </w:p>
        </w:tc>
      </w:tr>
      <w:tr>
        <w:tc>
          <w:tcPr>
            <w:tcW w:type="dxa" w:w="1814"/>
          </w:tcPr>
          <w:p>
            <w:r>
              <w:rPr>
                <w:rFonts w:ascii="Times New Roman" w:hAnsi="Times New Roman"/>
                <w:sz w:val="20"/>
              </w:rPr>
              <w:t>2024</w:t>
            </w:r>
          </w:p>
        </w:tc>
        <w:tc>
          <w:tcPr>
            <w:tcW w:type="dxa" w:w="1814"/>
          </w:tcPr>
          <w:p>
            <w:r>
              <w:rPr>
                <w:rFonts w:ascii="Times New Roman" w:hAnsi="Times New Roman"/>
                <w:sz w:val="20"/>
              </w:rPr>
              <w:t>61.000</w:t>
            </w:r>
          </w:p>
        </w:tc>
        <w:tc>
          <w:tcPr>
            <w:tcW w:type="dxa" w:w="1814"/>
          </w:tcPr>
          <w:p>
            <w:r>
              <w:rPr>
                <w:rFonts w:ascii="Times New Roman" w:hAnsi="Times New Roman"/>
                <w:sz w:val="20"/>
              </w:rPr>
              <w:t>62.000</w:t>
            </w:r>
          </w:p>
        </w:tc>
        <w:tc>
          <w:tcPr>
            <w:tcW w:type="dxa" w:w="1814"/>
          </w:tcPr>
          <w:p>
            <w:r>
              <w:rPr>
                <w:rFonts w:ascii="Times New Roman" w:hAnsi="Times New Roman"/>
                <w:sz w:val="20"/>
              </w:rPr>
              <w:t>19.000</w:t>
            </w:r>
          </w:p>
        </w:tc>
        <w:tc>
          <w:tcPr>
            <w:tcW w:type="dxa" w:w="1814"/>
          </w:tcPr>
          <w:p>
            <w:r>
              <w:rPr>
                <w:rFonts w:ascii="Times New Roman" w:hAnsi="Times New Roman"/>
                <w:sz w:val="20"/>
              </w:rPr>
              <w:t>142.000</w:t>
            </w:r>
          </w:p>
        </w:tc>
      </w:tr>
    </w:tbl>
    <w:p>
      <w:pPr>
        <w:pStyle w:val="Heading3"/>
      </w:pPr>
      <w:r>
        <w:rPr>
          <w:rFonts w:ascii="Times New Roman" w:hAnsi="Times New Roman"/>
        </w:rPr>
        <w:t>3.4 Presseberichte und Auszeichnungen</w:t>
      </w:r>
    </w:p>
    <w:p>
      <w:pPr>
        <w:pStyle w:val="ListBullet"/>
      </w:pPr>
      <w:r>
        <w:t>„Mein schöner Garten" (03/2022): „Die eleganteste Gartenskulptur des Jahres — wir testen die Leichtenstein-Rosenbluete" (Anlage M-2)</w:t>
      </w:r>
    </w:p>
    <w:p>
      <w:pPr>
        <w:pStyle w:val="ListBullet"/>
      </w:pPr>
      <w:r>
        <w:t>FOCUS Online (04/2023): „Made in Germany: Die 10 schönsten deutschen Gartendekos" — Leichtenstein-Rosenbluete auf Platz 2 (Anlage M-3)</w:t>
      </w:r>
    </w:p>
    <w:p>
      <w:pPr>
        <w:pStyle w:val="ListBullet"/>
      </w:pPr>
      <w:r>
        <w:t>Spoga+Gafa Design Award 2023 (Köln): Bronze in der Kategorie Gartendekoration (Anlage M-4)</w:t>
      </w:r>
    </w:p>
    <w:p>
      <w:pPr>
        <w:pStyle w:val="ListBullet"/>
      </w:pPr>
      <w:r>
        <w:t>Gartenzeitung (07/2024): „Seit Jahren der Klassiker: Leichtensteins Rosenbluete als Inbegriff handwerklicher Gartenkunst" (Anlage M-5)</w:t>
      </w:r>
    </w:p>
    <w:p>
      <w:pPr>
        <w:pStyle w:val="ListBullet"/>
      </w:pPr>
      <w:r>
        <w:t>BBC Gardens World (UK, Sendung 08/2023): Kurzfeature über Leichtenstein (Anlage M-6)</w:t>
      </w:r>
    </w:p>
    <w:p>
      <w:pPr>
        <w:pStyle w:val="ListBullet"/>
      </w:pPr>
      <w:r>
        <w:t>RTL-Frühstücksfernsehen (Segment Garten &amp; Deko, Mai 2023): Produktvorstellung (Anlage M-7)</w:t>
      </w:r>
    </w:p>
    <w:p>
      <w:pPr>
        <w:pStyle w:val="Heading3"/>
      </w:pPr>
      <w:r>
        <w:rPr>
          <w:rFonts w:ascii="Times New Roman" w:hAnsi="Times New Roman"/>
        </w:rPr>
        <w:t>3.5 Fachhandels-Bestätigungen</w:t>
      </w:r>
    </w:p>
    <w:p>
      <w:pPr>
        <w:jc w:val="left"/>
      </w:pPr>
      <w:r>
        <w:t>Sieben Bestätigungsschreiben von Fachhandelsbetrieben, in denen diese bestätigen, dass Kunden gezielt nach der „Leichtenstein-Rosenbluete" fragen und das Produkt bundesweit als eigenständige Marke wahrgenommen wird:</w:t>
      </w:r>
    </w:p>
    <w:p>
      <w:pPr>
        <w:pStyle w:val="ListBullet"/>
      </w:pPr>
      <w:r>
        <w:t>Gartenparadies Müller-Schwab GmbH, Heidelberg</w:t>
      </w:r>
    </w:p>
    <w:p>
      <w:pPr>
        <w:pStyle w:val="ListBullet"/>
      </w:pPr>
      <w:r>
        <w:t>Gartenwelt Rotthoff-Bergmann, Düsseldorf</w:t>
      </w:r>
    </w:p>
    <w:p>
      <w:pPr>
        <w:pStyle w:val="ListBullet"/>
      </w:pPr>
      <w:r>
        <w:t>Grüner Daumen GmbH, München</w:t>
      </w:r>
    </w:p>
    <w:p>
      <w:pPr>
        <w:pStyle w:val="ListBullet"/>
      </w:pPr>
      <w:r>
        <w:t>Gartencentrum Baumgartner KG, Wien</w:t>
      </w:r>
    </w:p>
    <w:p>
      <w:pPr>
        <w:pStyle w:val="ListBullet"/>
      </w:pPr>
      <w:r>
        <w:t>HorticulturA SA, Brüssel (Belgien)</w:t>
      </w:r>
    </w:p>
    <w:p>
      <w:pPr>
        <w:pStyle w:val="ListBullet"/>
      </w:pPr>
      <w:r>
        <w:t>Jardinerie Lefleur SARL, Straßburg (Frankreich)</w:t>
      </w:r>
    </w:p>
    <w:p>
      <w:pPr>
        <w:pStyle w:val="ListBullet"/>
      </w:pPr>
      <w:r>
        <w:t>Tuinhuis de Vrolijk, Amsterdam (Niederlande)</w:t>
      </w:r>
    </w:p>
    <w:p>
      <w:pPr>
        <w:pStyle w:val="Heading2"/>
      </w:pPr>
      <w:r>
        <w:rPr>
          <w:rFonts w:ascii="Times New Roman" w:hAnsi="Times New Roman"/>
        </w:rPr>
        <w:t>4. Fazit</w:t>
      </w:r>
    </w:p>
    <w:p>
      <w:pPr>
        <w:jc w:val="left"/>
      </w:pPr>
      <w:r>
        <w:t>Die vorgelegten Nachweise belegen in ihrer Gesamtheit, dass die 3D-Marke 018 977 412 spätestens zum Zeitpunkt des EUIPO-Beschwerdeverfahrens die Anforderungen der Verkehrsdurchsetzung nach Art. 7 Abs. 3 UMV erfüllt. Die Marke ist daher auch hilfsweise auf diesem Wege vor der Nichtigerklärung geschützt.</w:t>
      </w:r>
    </w:p>
    <w:p>
      <w:pPr>
        <w:jc w:val="left"/>
      </w:pPr>
      <w:r>
        <w:t>Die demoskopische Studie mit 34 % korrekter Herkunftszuordnung und insgesamt 52 % Verkehrsgeltung bei der relevanten Zielgruppe erfüllt den EUIPO-Richtwert für hinreichende Verkehrsdurchsetzung.</w:t>
      </w:r>
    </w:p>
    <w:p/>
    <w:p>
      <w:pPr>
        <w:jc w:val="left"/>
      </w:pPr>
      <w:r>
        <w:rPr>
          <w:b/>
        </w:rPr>
        <w:t>Erstellt von:</w:t>
      </w:r>
      <w:r>
        <w:t xml:space="preserve"> PA Dr. Volkmar Trautmann</w:t>
      </w:r>
    </w:p>
    <w:p>
      <w:pPr>
        <w:jc w:val="left"/>
      </w:pPr>
      <w:r>
        <w:rPr>
          <w:b/>
        </w:rPr>
        <w:t>Datum:</w:t>
      </w:r>
      <w:r>
        <w:t xml:space="preserve"> 30. Mai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