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Prozesstaktik: LG Mannheim 7 O 88/26 — Terminsvorbereitung</w:t>
      </w:r>
    </w:p>
    <w:p>
      <w:pPr>
        <w:jc w:val="left"/>
      </w:pPr>
      <w:r>
        <w:rPr>
          <w:b/>
        </w:rPr>
        <w:t>Bearbeiter:</w:t>
      </w:r>
      <w:r>
        <w:t xml:space="preserve"> RA Philipp Mertens-Waldhausen</w:t>
      </w:r>
    </w:p>
    <w:p>
      <w:pPr>
        <w:jc w:val="left"/>
      </w:pPr>
      <w:r>
        <w:rPr>
          <w:b/>
        </w:rPr>
        <w:t>Datum:</w:t>
      </w:r>
      <w:r>
        <w:t xml:space="preserve"> 28. Juni 2026</w:t>
      </w:r>
    </w:p>
    <w:p>
      <w:pPr>
        <w:jc w:val="left"/>
      </w:pPr>
      <w:r>
        <w:rPr>
          <w:b/>
        </w:rPr>
        <w:t>Termin:</w:t>
      </w:r>
      <w:r>
        <w:t xml:space="preserve"> Widerspruchsverhandlung (eV) und Hauptsachetermin — 08. Juli 2026, 10:00 Uhr</w:t>
      </w:r>
    </w:p>
    <w:p>
      <w:pPr>
        <w:jc w:val="left"/>
      </w:pPr>
      <w:r>
        <w:rPr>
          <w:b/>
        </w:rPr>
        <w:t>Kammer:</w:t>
      </w:r>
      <w:r>
        <w:t xml:space="preserve"> LG Mannheim, 7. Kammer für Handelssachen</w:t>
      </w:r>
    </w:p>
    <w:p>
      <w:pPr>
        <w:jc w:val="left"/>
      </w:pPr>
      <w:r>
        <w:rPr>
          <w:b/>
        </w:rPr>
        <w:t>Vorsitz:</w:t>
      </w:r>
      <w:r>
        <w:t xml:space="preserve"> Richterin Dr. Angelika Fleischer-Noll</w:t>
      </w:r>
    </w:p>
    <w:p/>
    <w:p>
      <w:pPr>
        <w:pStyle w:val="Heading2"/>
      </w:pPr>
      <w:r>
        <w:rPr>
          <w:rFonts w:ascii="Times New Roman" w:hAnsi="Times New Roman"/>
        </w:rPr>
        <w:t>1. Verfahrensstand zum Terminszeitpunkt</w:t>
      </w:r>
    </w:p>
    <w:p>
      <w:pPr>
        <w:jc w:val="left"/>
      </w:pPr>
      <w:r>
        <w:t>Zum Verhandlungstermin am 08. Juli 2026 liegen folgende Schriftsätze vor:</w:t>
      </w:r>
    </w:p>
    <w:p>
      <w:pPr>
        <w:pStyle w:val="ListBullet"/>
      </w:pPr>
      <w:r>
        <w:t>Klageschrift/Antrag auf eV (22. April 2026)</w:t>
      </w:r>
    </w:p>
    <w:p>
      <w:pPr>
        <w:pStyle w:val="ListBullet"/>
      </w:pPr>
      <w:r>
        <w:t>Beschluss eV (29. April 2026)</w:t>
      </w:r>
    </w:p>
    <w:p>
      <w:pPr>
        <w:pStyle w:val="ListBullet"/>
      </w:pPr>
      <w:r>
        <w:t>Widerspruch FlowerWorld (04. Mai 2026)</w:t>
      </w:r>
    </w:p>
    <w:p>
      <w:pPr>
        <w:pStyle w:val="ListBullet"/>
      </w:pPr>
      <w:r>
        <w:t>Klagebegründung (12. Mai 2026)</w:t>
      </w:r>
    </w:p>
    <w:p>
      <w:pPr>
        <w:pStyle w:val="ListBullet"/>
      </w:pPr>
      <w:r>
        <w:t>Klageerwiderung FlowerWorld (02. Juni 2026; RA Dr. Klingenberg)</w:t>
      </w:r>
    </w:p>
    <w:p>
      <w:pPr>
        <w:pStyle w:val="ListBullet"/>
      </w:pPr>
      <w:r>
        <w:t>Replik Klägerin (22. Juni 2026)</w:t>
      </w:r>
    </w:p>
    <w:p>
      <w:pPr>
        <w:jc w:val="left"/>
      </w:pPr>
      <w:r>
        <w:t>Die Vergleichsverhandlungen laufen parallel; sollte der Vergleich bis 08. Juli 2026 unterzeichnet sein, entfällt der Termin. Derzeit noch nicht absehbar.</w:t>
      </w:r>
    </w:p>
    <w:p>
      <w:pPr>
        <w:pStyle w:val="Heading2"/>
      </w:pPr>
      <w:r>
        <w:rPr>
          <w:rFonts w:ascii="Times New Roman" w:hAnsi="Times New Roman"/>
        </w:rPr>
        <w:t>2. Erwartete Argumentation der Gegenseite</w:t>
      </w:r>
    </w:p>
    <w:p>
      <w:pPr>
        <w:jc w:val="left"/>
      </w:pPr>
      <w:r>
        <w:t>RA Dr. Klingenberg hat in der Klageerwiderung und im Gespräch folgende Argumente angekündigt:</w:t>
      </w:r>
    </w:p>
    <w:p>
      <w:pPr>
        <w:pStyle w:val="Heading3"/>
      </w:pPr>
      <w:r>
        <w:rPr>
          <w:rFonts w:ascii="Times New Roman" w:hAnsi="Times New Roman"/>
        </w:rPr>
        <w:t>2.1 Keine Verwechslungsgefahr bei 3D-Marken</w:t>
      </w:r>
    </w:p>
    <w:p>
      <w:pPr>
        <w:jc w:val="left"/>
      </w:pPr>
      <w:r>
        <w:t>FlowerWorld wird argumentieren, dass der Durchschnittsverbraucher beim Kauf einer 25-Euro-Gartenblume beim Discounter nicht an eine 200-Euro-Premiummarke denkt. Das Bewusstsein für die Herkunft sei im preissensiblen Discounterkanal grundsätzlich geringer.</w:t>
      </w:r>
    </w:p>
    <w:p>
      <w:pPr>
        <w:jc w:val="left"/>
      </w:pPr>
      <w:r>
        <w:rPr>
          <w:b/>
        </w:rPr>
        <w:t>Gegenargument:</w:t>
      </w:r>
      <w:r>
        <w:t xml:space="preserve"> Verwechslungsgefahr im Sinne des Markenrechts bedeutet nicht, dass der Verbraucher tatsächlich verwechselt — es genügt die Gefahr einer gedanklichen Verbindung. Auch der flüchtige Verbraucher, der im Discounter eine Rosenbluete sieht, wird an die Leichtenstein-Form erinnert. Der BGH hat in GRUR 2008, 912 — Pantogard ausgeführt, dass die Verwechslungsgefahr nach einem Gesamtvergleich zu beurteilen ist, bei dem alle relevanten Faktoren einzubeziehen sind.</w:t>
      </w:r>
    </w:p>
    <w:p>
      <w:pPr>
        <w:pStyle w:val="Heading3"/>
      </w:pPr>
      <w:r>
        <w:rPr>
          <w:rFonts w:ascii="Times New Roman" w:hAnsi="Times New Roman"/>
        </w:rPr>
        <w:t>2.2 Die Marke sei nicht schutzfähig (Widerklage oder Einrede)</w:t>
      </w:r>
    </w:p>
    <w:p>
      <w:pPr>
        <w:jc w:val="left"/>
      </w:pPr>
      <w:r>
        <w:t>FlowerWorld kündigt an, die Nichtigkeit der Marke als Einrede zu erheben (§ 55 i.V.m. § 51 MarkenG). Dieser Einwand ist möglich, aber prozessual schwierig, da das EUIPO-Verfahren noch läuft.</w:t>
      </w:r>
    </w:p>
    <w:p>
      <w:pPr>
        <w:jc w:val="left"/>
      </w:pPr>
      <w:r>
        <w:rPr>
          <w:b/>
        </w:rPr>
        <w:t>Gegenargument:</w:t>
      </w:r>
      <w:r>
        <w:t xml:space="preserve"> § 127 UMV regelt ausdrücklich, dass ein nationales Gericht das Verletzungsverfahren aussetzen kann, aber nicht muss, wenn ein Nichtigkeitsantrag beim EUIPO anhängig ist. Das Ermessen des Gerichts spricht für eine Nichtaussetzung hier, da:</w:t>
      </w:r>
    </w:p>
    <w:p>
      <w:pPr>
        <w:jc w:val="left"/>
      </w:pPr>
      <w:r>
        <w:t>(a) Die EUIPO-Erstentscheidung die Marke bestätigt hat.</w:t>
      </w:r>
    </w:p>
    <w:p>
      <w:pPr>
        <w:jc w:val="left"/>
      </w:pPr>
      <w:r>
        <w:t>(b) Der Beschwerdeverfahrensausgang offen ist, aber die Mandantin gute Argumente hat.</w:t>
      </w:r>
    </w:p>
    <w:p>
      <w:pPr>
        <w:jc w:val="left"/>
      </w:pPr>
      <w:r>
        <w:t>(c) Jede Woche Verzögerung der Mandantin weiteren Schaden verursacht.</w:t>
      </w:r>
    </w:p>
    <w:p>
      <w:pPr>
        <w:pStyle w:val="Heading3"/>
      </w:pPr>
      <w:r>
        <w:rPr>
          <w:rFonts w:ascii="Times New Roman" w:hAnsi="Times New Roman"/>
        </w:rPr>
        <w:t>2.3 Erschöpfung für Online-Käufer</w:t>
      </w:r>
    </w:p>
    <w:p>
      <w:pPr>
        <w:jc w:val="left"/>
      </w:pPr>
      <w:r>
        <w:t>FlowerWorld wird vortragen, dass für die bereits an Endverbraucher verkauften ca. 7.000 Stücke Erschöpfung nach § 24 MarkenG eingetreten sei.</w:t>
      </w:r>
    </w:p>
    <w:p>
      <w:pPr>
        <w:jc w:val="left"/>
      </w:pPr>
      <w:r>
        <w:rPr>
          <w:b/>
        </w:rPr>
        <w:t>Gegenargument:</w:t>
      </w:r>
      <w:r>
        <w:t xml:space="preserve"> Erschöpfung betrifft nur die Rechte an den konkreten, bereits in Verkehr gebrachten Exemplaren. Sie wirkt zugunsten der Endkäufer, nicht zugunsten von FlowerWorld selbst. FlowerWorld kann sich auf Erschöpfung nicht berufen, weil Erschöpfung voraussetzt, dass der Markeninhaber die Ware selbst in Verkehr gebracht hat — was hier nicht der Fall ist.</w:t>
      </w:r>
    </w:p>
    <w:p>
      <w:pPr>
        <w:pStyle w:val="Heading2"/>
      </w:pPr>
      <w:r>
        <w:rPr>
          <w:rFonts w:ascii="Times New Roman" w:hAnsi="Times New Roman"/>
        </w:rPr>
        <w:t>3. Beweisantritte und Beweismittel der Klägerin</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Beweisthema</w:t>
            </w:r>
          </w:p>
        </w:tc>
        <w:tc>
          <w:tcPr>
            <w:tcW w:type="dxa" w:w="4536"/>
          </w:tcPr>
          <w:p>
            <w:r>
              <w:rPr>
                <w:rFonts w:ascii="Times New Roman" w:hAnsi="Times New Roman"/>
                <w:b/>
                <w:sz w:val="20"/>
              </w:rPr>
              <w:t>Beweismittel</w:t>
            </w:r>
          </w:p>
        </w:tc>
      </w:tr>
      <w:tr>
        <w:tc>
          <w:tcPr>
            <w:tcW w:type="dxa" w:w="4536"/>
          </w:tcPr>
          <w:p>
            <w:r>
              <w:rPr>
                <w:rFonts w:ascii="Times New Roman" w:hAnsi="Times New Roman"/>
                <w:sz w:val="20"/>
              </w:rPr>
              <w:t>Verletzungshandlung</w:t>
            </w:r>
          </w:p>
        </w:tc>
        <w:tc>
          <w:tcPr>
            <w:tcW w:type="dxa" w:w="4536"/>
          </w:tcPr>
          <w:p>
            <w:r>
              <w:rPr>
                <w:rFonts w:ascii="Times New Roman" w:hAnsi="Times New Roman"/>
                <w:sz w:val="20"/>
              </w:rPr>
              <w:t>Testkauf-Protokolle, Kassenbons (Anlage K-2 bis K-4)</w:t>
            </w:r>
          </w:p>
        </w:tc>
      </w:tr>
      <w:tr>
        <w:tc>
          <w:tcPr>
            <w:tcW w:type="dxa" w:w="4536"/>
          </w:tcPr>
          <w:p>
            <w:r>
              <w:rPr>
                <w:rFonts w:ascii="Times New Roman" w:hAnsi="Times New Roman"/>
                <w:sz w:val="20"/>
              </w:rPr>
              <w:t>Zeichenähnlichkeit</w:t>
            </w:r>
          </w:p>
        </w:tc>
        <w:tc>
          <w:tcPr>
            <w:tcW w:type="dxa" w:w="4536"/>
          </w:tcPr>
          <w:p>
            <w:r>
              <w:rPr>
                <w:rFonts w:ascii="Times New Roman" w:hAnsi="Times New Roman"/>
                <w:sz w:val="20"/>
              </w:rPr>
              <w:t>Fotovergleich (Anlage K-18 bis K-28), Messprotokoll Haffner-Böck (Anlage K-29)</w:t>
            </w:r>
          </w:p>
        </w:tc>
      </w:tr>
      <w:tr>
        <w:tc>
          <w:tcPr>
            <w:tcW w:type="dxa" w:w="4536"/>
          </w:tcPr>
          <w:p>
            <w:r>
              <w:rPr>
                <w:rFonts w:ascii="Times New Roman" w:hAnsi="Times New Roman"/>
                <w:sz w:val="20"/>
              </w:rPr>
              <w:t>Verwechslungsgefahr</w:t>
            </w:r>
          </w:p>
        </w:tc>
        <w:tc>
          <w:tcPr>
            <w:tcW w:type="dxa" w:w="4536"/>
          </w:tcPr>
          <w:p>
            <w:r>
              <w:rPr>
                <w:rFonts w:ascii="Times New Roman" w:hAnsi="Times New Roman"/>
                <w:sz w:val="20"/>
              </w:rPr>
              <w:t>Sachverständigengutachten Prof. Dr. Hausmann-Ketterer (Anlage K-30, erwartet 30. Juni 2026)</w:t>
            </w:r>
          </w:p>
        </w:tc>
      </w:tr>
      <w:tr>
        <w:tc>
          <w:tcPr>
            <w:tcW w:type="dxa" w:w="4536"/>
          </w:tcPr>
          <w:p>
            <w:r>
              <w:rPr>
                <w:rFonts w:ascii="Times New Roman" w:hAnsi="Times New Roman"/>
                <w:sz w:val="20"/>
              </w:rPr>
              <w:t>Inhaberschaft der Marke</w:t>
            </w:r>
          </w:p>
        </w:tc>
        <w:tc>
          <w:tcPr>
            <w:tcW w:type="dxa" w:w="4536"/>
          </w:tcPr>
          <w:p>
            <w:r>
              <w:rPr>
                <w:rFonts w:ascii="Times New Roman" w:hAnsi="Times New Roman"/>
                <w:sz w:val="20"/>
              </w:rPr>
              <w:t>EUIPO-Registerauszug (Anlage D-1)</w:t>
            </w:r>
          </w:p>
        </w:tc>
      </w:tr>
      <w:tr>
        <w:tc>
          <w:tcPr>
            <w:tcW w:type="dxa" w:w="4536"/>
          </w:tcPr>
          <w:p>
            <w:r>
              <w:rPr>
                <w:rFonts w:ascii="Times New Roman" w:hAnsi="Times New Roman"/>
                <w:sz w:val="20"/>
              </w:rPr>
              <w:t>Schaden</w:t>
            </w:r>
          </w:p>
        </w:tc>
        <w:tc>
          <w:tcPr>
            <w:tcW w:type="dxa" w:w="4536"/>
          </w:tcPr>
          <w:p>
            <w:r>
              <w:rPr>
                <w:rFonts w:ascii="Times New Roman" w:hAnsi="Times New Roman"/>
                <w:sz w:val="20"/>
              </w:rPr>
              <w:t>Schadensberechnung nach Lizenzanalogie (Aktenstück 07, Anlage N-2)</w:t>
            </w:r>
          </w:p>
        </w:tc>
      </w:tr>
      <w:tr>
        <w:tc>
          <w:tcPr>
            <w:tcW w:type="dxa" w:w="4536"/>
          </w:tcPr>
          <w:p>
            <w:r>
              <w:rPr>
                <w:rFonts w:ascii="Times New Roman" w:hAnsi="Times New Roman"/>
                <w:sz w:val="20"/>
              </w:rPr>
              <w:t>Chinesischer Hersteller</w:t>
            </w:r>
          </w:p>
        </w:tc>
        <w:tc>
          <w:tcPr>
            <w:tcW w:type="dxa" w:w="4536"/>
          </w:tcPr>
          <w:p>
            <w:r>
              <w:rPr>
                <w:rFonts w:ascii="Times New Roman" w:hAnsi="Times New Roman"/>
                <w:sz w:val="20"/>
              </w:rPr>
              <w:t>Alibaba-Recherche, Detektei-Bericht (Anlage L-1 bis L-5)</w:t>
            </w:r>
          </w:p>
        </w:tc>
      </w:tr>
    </w:tbl>
    <w:p>
      <w:pPr>
        <w:pStyle w:val="Heading2"/>
      </w:pPr>
      <w:r>
        <w:rPr>
          <w:rFonts w:ascii="Times New Roman" w:hAnsi="Times New Roman"/>
        </w:rPr>
        <w:t>4. Vortrag zum Aussetzungsantrag</w:t>
      </w:r>
    </w:p>
    <w:p>
      <w:pPr>
        <w:jc w:val="left"/>
      </w:pPr>
      <w:r>
        <w:t>Falls das Gericht eine Aussetzung nach § 127 UMV erwägt, wird beantragt, von der Aussetzung abzusehen:</w:t>
      </w:r>
    </w:p>
    <w:p>
      <w:pPr>
        <w:pStyle w:val="ListBullet"/>
      </w:pPr>
      <w:r>
        <w:t>Dauer des EUIPO-Beschwerdeverfahrens: erfahrungsgemäß 18 bis 36 Monate</w:t>
      </w:r>
    </w:p>
    <w:p>
      <w:pPr>
        <w:pStyle w:val="ListBullet"/>
      </w:pPr>
      <w:r>
        <w:t>Mandantin erleidet in dieser Zeit weiteren Imageschaden</w:t>
      </w:r>
    </w:p>
    <w:p>
      <w:pPr>
        <w:pStyle w:val="ListBullet"/>
      </w:pPr>
      <w:r>
        <w:t>EUIPO-Erstentscheidung liegt vor und bestätigt die Marke</w:t>
      </w:r>
    </w:p>
    <w:p>
      <w:pPr>
        <w:pStyle w:val="ListBullet"/>
      </w:pPr>
      <w:r>
        <w:t>Schadensersatzanspruch bleibt im Falle späterer Löschung der Marke auf Zeiten vor der Löschung beschränkt; das Gericht muss keine endgültige Bindungswirkung fürchten</w:t>
      </w:r>
    </w:p>
    <w:p>
      <w:pPr>
        <w:jc w:val="left"/>
      </w:pPr>
      <w:r>
        <w:t>Hilfsweise: Aussetzung nur bzgl. des Schadensersatzbegehrens; Unterlassungs- und Rückrufanspruch werden sofort tenoriert.</w:t>
      </w:r>
    </w:p>
    <w:p>
      <w:pPr>
        <w:pStyle w:val="Heading2"/>
      </w:pPr>
      <w:r>
        <w:rPr>
          <w:rFonts w:ascii="Times New Roman" w:hAnsi="Times New Roman"/>
        </w:rPr>
        <w:t>5. Terminsprogramm</w:t>
      </w:r>
    </w:p>
    <w:p>
      <w:pPr>
        <w:jc w:val="left"/>
      </w:pPr>
      <w:r>
        <w:rPr>
          <w:b/>
        </w:rPr>
        <w:t>Vorbereitung:</w:t>
      </w:r>
    </w:p>
    <w:p>
      <w:pPr>
        <w:pStyle w:val="ListBullet"/>
      </w:pPr>
      <w:r>
        <w:t>Bis 30. Juni 2026: Sachverständigengutachten Hausmann-Ketterer einfordern</w:t>
      </w:r>
    </w:p>
    <w:p>
      <w:pPr>
        <w:pStyle w:val="ListBullet"/>
      </w:pPr>
      <w:r>
        <w:t>Bis 05. Juli 2026: Schriftsätzliche Zusammenfassung der Argumente einreichen</w:t>
      </w:r>
    </w:p>
    <w:p>
      <w:pPr>
        <w:pStyle w:val="ListBullet"/>
      </w:pPr>
      <w:r>
        <w:t>07. Juli 2026, 16:00 Uhr: Vorbesprechung mit Mandantin (Tel.)</w:t>
      </w:r>
    </w:p>
    <w:p>
      <w:pPr>
        <w:pStyle w:val="ListBullet"/>
      </w:pPr>
      <w:r>
        <w:t>08. Juli 2026, 09:30 Uhr: Eintreffen im Gericht, Vorgespräch mit RA Dr. Klingenberg</w:t>
      </w:r>
    </w:p>
    <w:p>
      <w:pPr>
        <w:jc w:val="left"/>
      </w:pPr>
      <w:r>
        <w:rPr>
          <w:b/>
        </w:rPr>
        <w:t>Am Termin vorzubringen:</w:t>
      </w:r>
    </w:p>
    <w:p>
      <w:pPr>
        <w:pStyle w:val="ListBullet"/>
      </w:pPr>
      <w:r>
        <w:t>Eröffnung: Verweise auf eV-Beschluss, Betonung der starken Markenposition</w:t>
      </w:r>
    </w:p>
    <w:p>
      <w:pPr>
        <w:pStyle w:val="ListBullet"/>
      </w:pPr>
      <w:r>
        <w:t>Hauptargumentation: Verwechslungsgefahr durch Bildvergleich veranschaulichen (Anlage K-28 als Hauptbeweisstück)</w:t>
      </w:r>
    </w:p>
    <w:p>
      <w:pPr>
        <w:pStyle w:val="ListBullet"/>
      </w:pPr>
      <w:r>
        <w:t>Hilfsargumentation: Auskunftsanspruch und Schadensersatzfeststellung auch bei Marktablauf der Marke begründet</w:t>
      </w:r>
    </w:p>
    <w:p>
      <w:pPr>
        <w:pStyle w:val="ListBullet"/>
      </w:pPr>
      <w:r>
        <w:t>Prozessual: Antrag auf Ablehnung der Aussetzung mit ausführlicher Begründung</w:t>
      </w:r>
    </w:p>
    <w:p/>
    <w:p>
      <w:pPr>
        <w:jc w:val="left"/>
      </w:pPr>
      <w:r>
        <w:rPr>
          <w:b/>
        </w:rPr>
        <w:t>Erstellt von:</w:t>
      </w:r>
      <w:r>
        <w:t xml:space="preserve"> RA Philipp Mertens-Waldhausen</w:t>
      </w:r>
    </w:p>
    <w:p>
      <w:pPr>
        <w:jc w:val="left"/>
      </w:pPr>
      <w:r>
        <w:rPr>
          <w:b/>
        </w:rPr>
        <w:t>Datum:</w:t>
      </w:r>
      <w:r>
        <w:t xml:space="preserve"> 28.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