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14 - Social-Media-Zweitwelle und externe Reaktionen</w:t>
      </w:r>
    </w:p>
    <w:p>
      <w:pPr>
        <w:jc w:val="left"/>
      </w:pPr>
      <w:r>
        <w:rPr>
          <w:b/>
        </w:rPr>
        <w:t>Erfassungszeitraum:</w:t>
      </w:r>
      <w:r>
        <w:t xml:space="preserve"> 16.05.2026 bis 19.05.2026</w:t>
      </w:r>
    </w:p>
    <w:p>
      <w:pPr>
        <w:jc w:val="left"/>
      </w:pPr>
      <w:r>
        <w:rPr>
          <w:b/>
        </w:rPr>
        <w:t>Erfasst durch:</w:t>
      </w:r>
      <w:r>
        <w:t xml:space="preserve"> Referendar Roth, Kanzlei Muster</w:t>
      </w:r>
    </w:p>
    <w:p>
      <w:pPr>
        <w:jc w:val="left"/>
      </w:pPr>
      <w:r>
        <w:rPr>
          <w:b/>
        </w:rPr>
        <w:t>Quellen:</w:t>
      </w:r>
      <w:r>
        <w:t xml:space="preserve"> Manuelle Screenshots (Verzeichnis </w:t>
      </w:r>
      <w:r>
        <w:t>mp-zweitwelle/</w:t>
      </w:r>
      <w:r>
        <w:t>), API-Export X (Stand 19.05.2026, 06:00 Uhr), LinkedIn-Profilaufruf, Lokalpresse-Archiv (Mühlbachblick, OK1, Rundschau Niederbayern)</w:t>
      </w:r>
    </w:p>
    <w:p>
      <w:pPr>
        <w:jc w:val="left"/>
      </w:pPr>
      <w:r>
        <w:rPr>
          <w:b/>
        </w:rPr>
        <w:t>Anlass:</w:t>
      </w:r>
      <w:r>
        <w:t xml:space="preserve"> Beobachtung der Wirkung der Erstäußerungen auf Plattformen, einschließlich Reaktionen Dritter und Verbreitung in Lokalpresse</w:t>
      </w:r>
    </w:p>
    <w:p>
      <w:pPr>
        <w:pStyle w:val="Heading2"/>
      </w:pPr>
      <w:r>
        <w:rPr>
          <w:rFonts w:ascii="Times New Roman" w:hAnsi="Times New Roman"/>
        </w:rPr>
        <w:t xml:space="preserve">A. X-Thread </w:t>
      </w:r>
      <w:r>
        <w:rPr>
          <w:rFonts w:ascii="Times New Roman" w:hAnsi="Times New Roman"/>
        </w:rPr>
        <w:t>@klartext_oberkrainbach</w:t>
      </w:r>
      <w:r>
        <w:rPr>
          <w:rFonts w:ascii="Times New Roman" w:hAnsi="Times New Roman"/>
        </w:rPr>
        <w:t xml:space="preserve"> — Entwicklung nach 13.05.2026</w:t>
      </w:r>
    </w:p>
    <w:p>
      <w:pPr>
        <w:jc w:val="left"/>
      </w:pPr>
      <w:r>
        <w:t>Der ursprüngliche Thread vom 06.05.2026 wurde am 13.05.2026 (nach der Bürgerversammlung am 15.05.2026 nicht zu verwechseln; siehe Datum) durch einen unbekannten Account stark verbreitet. Zwischen 13.05. und 17.05.2026: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Reichweitenwerkzeug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15.05.2026, 22:00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16.05.2026, 06:00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17.05.2026, 12:00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18.05.2026, 18:00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19.05.2026, 06:00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Likes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</w:tr>
    </w:tbl>
    <w:p>
      <w:pPr>
        <w:jc w:val="left"/>
      </w:pPr>
      <w:r>
        <w:t>Der Beitrag erreichte am 16.05.2026 die Timeline mehrerer regional bekannter Accounts (zwei Stadtratsmitglieder einer Nachbargemeinde, ein Lokaljournalist, ein Mitglied der Bezirkstagsfraktion Grüne). Keiner dieser Reposts hatte einen eigenen kommentierenden Text.</w:t>
      </w:r>
    </w:p>
    <w:p>
      <w:pPr>
        <w:pStyle w:val="Heading2"/>
      </w:pPr>
      <w:r>
        <w:rPr>
          <w:rFonts w:ascii="Times New Roman" w:hAnsi="Times New Roman"/>
        </w:rPr>
        <w:t>B. LinkedIn — Reichweite des Pinocchio-Kommentars</w:t>
      </w:r>
    </w:p>
    <w:p>
      <w:pPr>
        <w:jc w:val="left"/>
      </w:pPr>
      <w:r>
        <w:t>Stand 18.05.2026, 23:00 Uhr:</w:t>
      </w:r>
    </w:p>
    <w:p>
      <w:pPr>
        <w:pStyle w:val="ListBullet"/>
      </w:pPr>
      <w:r>
        <w:t>19 Reaktionen ("Like", "Funny", "Like+"), davon 4 von NovaWerk-Mitarbeitern.</w:t>
      </w:r>
    </w:p>
    <w:p>
      <w:pPr>
        <w:pStyle w:val="ListBullet"/>
      </w:pPr>
      <w:r>
        <w:t>14 öffentliche Antworten, davon 5 mit Inhalt für Mandantin, 7 zustimmend, 2 mit Drohcharakter.</w:t>
      </w:r>
    </w:p>
    <w:p>
      <w:pPr>
        <w:pStyle w:val="ListBullet"/>
      </w:pPr>
      <w:r>
        <w:t>3 anonyme Direktnachrichten an Mandantin (zwei kritisch, eine positiv).</w:t>
      </w:r>
    </w:p>
    <w:p>
      <w:pPr>
        <w:pStyle w:val="ListBullet"/>
      </w:pPr>
      <w:r>
        <w:t>1 Profilbesuch durch "Compliance-Funktion NovaWerk" (Profil "Compliance NovaWerk", gemerkter Lebenslaufpunkt: Senior Specialist Investigations).</w:t>
      </w:r>
    </w:p>
    <w:p>
      <w:pPr>
        <w:jc w:val="left"/>
      </w:pPr>
      <w:r>
        <w:t>Bemerkenswerter Kommentar (öffentlich) von Nutzer "Solveig K., Branchenkollegin":</w:t>
      </w:r>
    </w:p>
    <w:p>
      <w:pPr>
        <w:ind w:left="567"/>
      </w:pPr>
      <w:r>
        <w:rPr>
          <w:i/>
        </w:rPr>
        <w:t>Ich kenne Frau Rupprecht aus der Branche. Sie ist verlässlich, aber kommunikativ überzeugend. Das hier ist keine Lüge, das ist Vertriebsdruck. Trotzdem: Pinocchio ist eine harte Vokabel.</w:t>
      </w:r>
    </w:p>
    <w:p>
      <w:pPr>
        <w:pStyle w:val="Heading2"/>
      </w:pPr>
      <w:r>
        <w:rPr>
          <w:rFonts w:ascii="Times New Roman" w:hAnsi="Times New Roman"/>
        </w:rPr>
        <w:t>C. Lokalpresse</w:t>
      </w:r>
    </w:p>
    <w:p>
      <w:pPr>
        <w:pStyle w:val="Heading3"/>
      </w:pPr>
      <w:r>
        <w:rPr>
          <w:rFonts w:ascii="Times New Roman" w:hAnsi="Times New Roman"/>
        </w:rPr>
        <w:t>Mühlbachblick (Online-Blog, Reichweite ca. 6.000 monatliche Besucher)</w:t>
      </w:r>
    </w:p>
    <w:p>
      <w:pPr>
        <w:pStyle w:val="ListBullet"/>
      </w:pPr>
      <w:r>
        <w:t>16.05.2026: Erstartikel (siehe 06_buergermeister_lackaffe_buergerversammlung.md).</w:t>
      </w:r>
    </w:p>
    <w:p>
      <w:pPr>
        <w:pStyle w:val="ListBullet"/>
      </w:pPr>
      <w:r>
        <w:t>17.05.2026: Folgeartikel "Bürgermeister droht mit Anwalt — wie weit darf Bürgerkritik gehen?" (kurze Einordnung mit unsystematischen Verweisen auf "BVerfG-Linie", ohne Aktenzeichen).</w:t>
      </w:r>
    </w:p>
    <w:p>
      <w:pPr>
        <w:pStyle w:val="ListBullet"/>
      </w:pPr>
      <w:r>
        <w:t>18.05.2026, 17:00 Uhr: Kommentar des Bloggers Saßmann mit dem Satz "Herr Wulfenroth wird sich noch erinnern, wenn die Nachträge bei einer halben Million liegen."</w:t>
      </w:r>
    </w:p>
    <w:p>
      <w:pPr>
        <w:pStyle w:val="Heading3"/>
      </w:pPr>
      <w:r>
        <w:rPr>
          <w:rFonts w:ascii="Times New Roman" w:hAnsi="Times New Roman"/>
        </w:rPr>
        <w:t>OK1 — Lokal-TV</w:t>
      </w:r>
    </w:p>
    <w:p>
      <w:pPr>
        <w:pStyle w:val="ListBullet"/>
      </w:pPr>
      <w:r>
        <w:t>Bericht 16.05.2026 (siehe 06.).</w:t>
      </w:r>
    </w:p>
    <w:p>
      <w:pPr>
        <w:pStyle w:val="ListBullet"/>
      </w:pPr>
      <w:r>
        <w:t>Wiederholung 17.05.2026, 12:30 Uhr.</w:t>
      </w:r>
    </w:p>
    <w:p>
      <w:pPr>
        <w:pStyle w:val="ListBullet"/>
      </w:pPr>
      <w:r>
        <w:t>Anfrage Kanzlei Muster auf Herausgabe des Rohmaterials der Veranstaltung: 17.05.2026, 14:00 Uhr; OK1 reagiert mit "Wir prüfen und melden uns binnen 7 Tagen."</w:t>
      </w:r>
    </w:p>
    <w:p>
      <w:pPr>
        <w:pStyle w:val="Heading3"/>
      </w:pPr>
      <w:r>
        <w:rPr>
          <w:rFonts w:ascii="Times New Roman" w:hAnsi="Times New Roman"/>
        </w:rPr>
        <w:t>Rundschau Niederbayern (Print + Online, ca. 28.000 Auflage)</w:t>
      </w:r>
    </w:p>
    <w:p>
      <w:pPr>
        <w:pStyle w:val="ListBullet"/>
      </w:pPr>
      <w:r>
        <w:t>Kurzmeldung "Heftige Töne in Oberkrainbach", 18.05.2026, S. 17. Erwähnt Clara Herbst namentlich. Kontaktversuch durch Redakteur Schwerdt am 18.05.2026, 16:15 Uhr; Mandantin nicht ans Telefon gegangen.</w:t>
      </w:r>
    </w:p>
    <w:p>
      <w:pPr>
        <w:pStyle w:val="Heading2"/>
      </w:pPr>
      <w:r>
        <w:rPr>
          <w:rFonts w:ascii="Times New Roman" w:hAnsi="Times New Roman"/>
        </w:rPr>
        <w:t>D. Reaktionen am Arbeitsplatz HanseLicht (außerhalb HR-Verfahren)</w:t>
      </w:r>
    </w:p>
    <w:p>
      <w:pPr>
        <w:pStyle w:val="ListBullet"/>
      </w:pPr>
      <w:r>
        <w:t>Kantinengespräch 14.05.2026 (nach HR-Einladung): Drei Kollegen sprechen Mandantin direkt an, davon zwei zustimmend, eine kritisch.</w:t>
      </w:r>
    </w:p>
    <w:p>
      <w:pPr>
        <w:pStyle w:val="ListBullet"/>
      </w:pPr>
      <w:r>
        <w:t>Anonyme E-Mail an Mandantin (Empfang 16.05.2026, 22:31 Uhr) mit folgender Aussage: "Sie sollten besser leise bleiben. Es geht hier um die Karriere von Herrn Kallweit, nicht um Ihre Einkaufszahlen." Header zeigt anonymen Webmailer. Mandantin hat E-Mail nicht beantwortet.</w:t>
      </w:r>
    </w:p>
    <w:p>
      <w:pPr>
        <w:pStyle w:val="Heading2"/>
      </w:pPr>
      <w:r>
        <w:rPr>
          <w:rFonts w:ascii="Times New Roman" w:hAnsi="Times New Roman"/>
        </w:rPr>
        <w:t>E. Bewertung Kanzlei</w:t>
      </w:r>
    </w:p>
    <w:p>
      <w:pPr>
        <w:pStyle w:val="ListBullet"/>
      </w:pPr>
      <w:r>
        <w:t>Die Reichweite des X-Postings übersteigt jetzt deutlich die Schwelle, ab der eine Löschung als "vollständige Beseitigung" der Wirkung gar nicht mehr möglich ist (Streisand-Effekt-Risiko).</w:t>
      </w:r>
    </w:p>
    <w:p>
      <w:pPr>
        <w:pStyle w:val="ListBullet"/>
      </w:pPr>
      <w:r>
        <w:t>Die LinkedIn-Reaktion zeigt: NovaWerk-Compliance prüft den Vorgang aktiv; eine Notice-and-Action-Maßnahme nach DSA ist möglich (LinkedIn ist eine sehr große Online-Plattform i. S. d. Art. 33 DSA).</w:t>
      </w:r>
    </w:p>
    <w:p>
      <w:pPr>
        <w:pStyle w:val="ListBullet"/>
      </w:pPr>
      <w:r>
        <w:t>Lokalpresseanfragen erhöhen den Druck, Kommunikation zu professionalisieren. Vorschlag: presseseitig nicht zurückrufen, schriftlich antworten oder schweigen (keine Verschärfung).</w:t>
      </w:r>
    </w:p>
    <w:p>
      <w:pPr>
        <w:pStyle w:val="ListBullet"/>
      </w:pPr>
      <w:r>
        <w:t>Anonyme E-Mail intern an HanseLicht meldepflichtig (Konzernrichtlinie zu Drohnachrichten), aber Quelle wirkt zu schwach für rechtliche Schritte; ggf. nur Kenntnisgabe an Sicherheitsabteilung.</w:t>
      </w:r>
    </w:p>
    <w:p>
      <w:pPr>
        <w:pStyle w:val="Heading2"/>
      </w:pPr>
      <w:r>
        <w:rPr>
          <w:rFonts w:ascii="Times New Roman" w:hAnsi="Times New Roman"/>
        </w:rPr>
        <w:t>F. Offene Beobachtungspunkte</w:t>
      </w:r>
    </w:p>
    <w:p>
      <w:pPr>
        <w:pStyle w:val="ListBullet"/>
      </w:pPr>
      <w:r>
        <w:t xml:space="preserve">Wer ist </w:t>
      </w:r>
      <w:r>
        <w:t>@KopfFrei_72</w:t>
      </w:r>
      <w:r>
        <w:t>?</w:t>
      </w:r>
    </w:p>
    <w:p>
      <w:pPr>
        <w:pStyle w:val="ListBullet"/>
      </w:pPr>
      <w:r>
        <w:t>Hat OK1 Rohmaterial herausgegeben? (Antwortfrist 24.05.2026)</w:t>
      </w:r>
    </w:p>
    <w:p>
      <w:pPr>
        <w:pStyle w:val="ListBullet"/>
      </w:pPr>
      <w:r>
        <w:t>Gibt es eine zweite Anzeige (z. B. wegen Verleumdung) parallel zum bestehenden Verfahren?</w:t>
      </w:r>
    </w:p>
    <w:p>
      <w:pPr>
        <w:pStyle w:val="ListBullet"/>
      </w:pPr>
      <w:r>
        <w:t>Wird Mühlbachblick die Kritik künftig zitieren ("Lackaffe-Kritikerin")? Risiko Folgepresse.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