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Entwürfe Gegendarstellung, Klarstellung und Folgekommunikation</w:t>
      </w:r>
    </w:p>
    <w:p>
      <w:pPr>
        <w:jc w:val="left"/>
      </w:pPr>
      <w:r>
        <w:rPr>
          <w:b/>
        </w:rPr>
        <w:t>Bearbeiter:</w:t>
      </w:r>
      <w:r>
        <w:t xml:space="preserve"> RAin Muster, Kanzlei Muster &amp; Kollegen</w:t>
      </w:r>
    </w:p>
    <w:p>
      <w:pPr>
        <w:jc w:val="left"/>
      </w:pPr>
      <w:r>
        <w:rPr>
          <w:b/>
        </w:rPr>
        <w:t>Stand:</w:t>
      </w:r>
      <w:r>
        <w:t xml:space="preserve"> 19.05.2026, 19:00 Uhr</w:t>
      </w:r>
    </w:p>
    <w:p>
      <w:pPr>
        <w:jc w:val="left"/>
      </w:pPr>
      <w:r>
        <w:rPr>
          <w:b/>
        </w:rPr>
        <w:t>Inhalt:</w:t>
      </w:r>
      <w:r>
        <w:t xml:space="preserve"> Drei Textbausteine in zwei Varianten ("fest" / "deeskalierend"), zusätzlich Entwürfe für (a) Folgekommentar X, (b) modifizierte Unterlassungserklärung "Lackaffe" gegenüber Dr. Barcken &amp; Voss, (c) Klarstellung in LinkedIn-Thread NovaWerk, (d) Eltern-Chat-Klarstellung, (e) HR-Statement HanseLicht, (f) Kurzantwort an die Lokalpresse</w:t>
      </w:r>
    </w:p>
    <w:p>
      <w:pPr>
        <w:pStyle w:val="Heading2"/>
      </w:pPr>
      <w:r>
        <w:rPr>
          <w:rFonts w:ascii="Times New Roman" w:hAnsi="Times New Roman"/>
        </w:rPr>
        <w:t>A. Folgekommentar X — Variante "deeskalierend"</w:t>
      </w:r>
    </w:p>
    <w:p>
      <w:pPr>
        <w:jc w:val="left"/>
      </w:pPr>
      <w:r>
        <w:t>(Hinzufügen zum bestehenden Thread, kein Löschen des Ursprungspostings)</w:t>
      </w:r>
    </w:p>
    <w:p>
      <w:pPr>
        <w:ind w:left="567"/>
      </w:pPr>
      <w:r>
        <w:rPr>
          <w:i/>
        </w:rPr>
        <w:t>"Zur Klarstellung: Mit 'bewusst schöngerechnet' meinte ich nicht eine private Vorteilsabsicht eines Einzelnen, sondern eine in der Vorlage 42/2025 angelegte Risikoeinstufung, die ich für politisch unzureichend gewichtet halte. Ich habe in keinem Fall Korruption oder Vorteilsnahme behauptet. Die Nachträge stehen aktuell bei rund 230.000 EUR netto."</w:t>
      </w:r>
    </w:p>
    <w:p>
      <w:pPr>
        <w:pStyle w:val="Heading2"/>
      </w:pPr>
      <w:r>
        <w:rPr>
          <w:rFonts w:ascii="Times New Roman" w:hAnsi="Times New Roman"/>
        </w:rPr>
        <w:t>B. Folgekommentar X — Variante "fest"</w:t>
      </w:r>
    </w:p>
    <w:p>
      <w:pPr>
        <w:ind w:left="567"/>
      </w:pPr>
      <w:r>
        <w:rPr>
          <w:i/>
        </w:rPr>
        <w:t>"Ich bleibe bei meiner Einschätzung, dass die Risikoeinstufung in der Vorlage 42/2025 die später entstandenen Nachträge in Höhe von rund 230.000 EUR nicht hinreichend abbildet. Ich behalte mir vor, die zugehörigen Unterlagen (Bodenbericht, Nachtragsliste) im Wege der Informationsfreiheit zu erfragen, um meinen Beitrag mit Belegen zu untermauern. Korruptionsvorwürfe enthält mein Beitrag nicht."</w:t>
      </w:r>
    </w:p>
    <w:p>
      <w:pPr>
        <w:pStyle w:val="Heading2"/>
      </w:pPr>
      <w:r>
        <w:rPr>
          <w:rFonts w:ascii="Times New Roman" w:hAnsi="Times New Roman"/>
        </w:rPr>
        <w:t>C. Modifizierte Unterlassungserklärung (gegenüber Dr. Barcken &amp; Voss)</w:t>
      </w:r>
    </w:p>
    <w:p>
      <w:pPr>
        <w:jc w:val="left"/>
      </w:pPr>
      <w:r>
        <w:t>(zu prüfen mit der Mandantin)</w:t>
      </w:r>
    </w:p>
    <w:p>
      <w:pPr>
        <w:ind w:left="567"/>
      </w:pPr>
      <w:r>
        <w:rPr>
          <w:i/>
        </w:rPr>
        <w:t>"Ich, Clara Herbst, verpflichte mich gegenüber Herrn Eberhard Wulfenroth, die im Bürgerdialog vom 15.05.2026 in der Aula der Realschule Oberkrainbach getätigte Äußerung 'Lackaffe auf der Baustellenbühne' nicht zu wiederholen. Diese Erklärung erfolgt ohne Anerkennung einer Rechtspflicht, gleichwohl rechtsverbindlich, und ausschließlich für die konkret bezeichnete Wortwahl. Inhaltliche Kritik am Verfahren um das Bauprojekt Kultursteg am Mühlbach, insbesondere zur Kostenkalkulation, bleibt mir unbenommen. Für jeden Fall der Zuwiderhandlung verspreche ich eine an einen vom Berechtigten zu benennenden, gemeinnützigen Empfänger im Bezirk Oberpfalz zu zahlende Vertragsstrafe von 1.500 EUR, deren Angemessenheit im Streitfall das Amtsgericht Regensburg überprüft."</w:t>
      </w:r>
    </w:p>
    <w:p>
      <w:pPr>
        <w:pStyle w:val="Heading2"/>
      </w:pPr>
      <w:r>
        <w:rPr>
          <w:rFonts w:ascii="Times New Roman" w:hAnsi="Times New Roman"/>
        </w:rPr>
        <w:t>D. Klarstellung im LinkedIn-Thread NovaWerk</w:t>
      </w:r>
    </w:p>
    <w:p>
      <w:pPr>
        <w:jc w:val="left"/>
      </w:pPr>
      <w:r>
        <w:t>(als Antwort auf den eigenen Kommentar, nicht Löschung)</w:t>
      </w:r>
    </w:p>
    <w:p>
      <w:pPr>
        <w:ind w:left="567"/>
      </w:pPr>
      <w:r>
        <w:rPr>
          <w:i/>
        </w:rPr>
        <w:t>"Klarstellung: Mit dem Vergleich 'Pinocchio des Monats' habe ich Frau Rupprecht keinen vorsätzlichen Lügenvorwurf machen wollen. Mein Punkt war: Die NovaWerk hat innerhalb von rund sechs Wochen drei unterschiedliche Liefertermine kommuniziert und mit dem Begriff 'Verlässlichkeit' geworben. Diesen Bruch zwischen Werbung und tatsächlicher Liefertreue halte ich für kritikwürdig. Soweit die Verzögerung durch externe Faktoren (Statikfreigabe) verursacht wurde, war meine Verkürzung in dieser Hinsicht missverständlich."</w:t>
      </w:r>
    </w:p>
    <w:p>
      <w:pPr>
        <w:pStyle w:val="Heading2"/>
      </w:pPr>
      <w:r>
        <w:rPr>
          <w:rFonts w:ascii="Times New Roman" w:hAnsi="Times New Roman"/>
        </w:rPr>
        <w:t>E. Eltern-Chat-Klarstellung</w:t>
      </w:r>
    </w:p>
    <w:p>
      <w:pPr>
        <w:jc w:val="left"/>
      </w:pPr>
      <w:r>
        <w:t>(im Eltern-Chat 7b, kein Posting in der "Werning"-E-Mail)</w:t>
      </w:r>
    </w:p>
    <w:p>
      <w:pPr>
        <w:ind w:left="567"/>
      </w:pPr>
      <w:r>
        <w:rPr>
          <w:i/>
        </w:rPr>
        <w:t>"Ich nehme die Formulierung 'absichtlich auflaufen' ausdrücklich zurück. Dass eine Lehrkraft das absichtlich tun würde, habe ich nicht beweisen können und nicht so gemeint. Meine Kritik bezieht sich darauf, dass im Unterricht andere Aufgabentypen geübt wurden als in der Klassenarbeit abgefragt. Diese organisatorische Kritik möchte ich aufrechterhalten."</w:t>
      </w:r>
    </w:p>
    <w:p>
      <w:pPr>
        <w:pStyle w:val="Heading2"/>
      </w:pPr>
      <w:r>
        <w:rPr>
          <w:rFonts w:ascii="Times New Roman" w:hAnsi="Times New Roman"/>
        </w:rPr>
        <w:t>F. HR-Statement HanseLicht (für Mandantin als Vorbereitung)</w:t>
      </w:r>
    </w:p>
    <w:p>
      <w:pPr>
        <w:ind w:left="567"/>
      </w:pPr>
      <w:r>
        <w:rPr>
          <w:i/>
        </w:rPr>
        <w:t>"Sehr geehrte Frau Brösel, sehr geehrter Herr Kallweit,</w:t>
      </w:r>
    </w:p>
    <w:p>
      <w:pPr>
        <w:ind w:left="567"/>
      </w:pPr>
    </w:p>
    <w:p>
      <w:pPr>
        <w:ind w:left="567"/>
      </w:pPr>
      <w:r>
        <w:rPr>
          <w:i/>
        </w:rPr>
        <w:t>ich bedaure die Wortwahl in der Kantine vom 13.05.2026 — die Bezeichnung 'tricksen' war zugespitzt und nicht angemessen. Hintergrund meiner Aussage war meine fachliche Wahrnehmung, dass zwischen den Excel-Versionen vom 02.05.2026 und 10.05.2026 Frachtkostenpositionen verschoben wurden, die für das Reporting des Einkaufs relevant sind. Diese Beobachtung möchte ich Ihnen gerne formell zur Klärung übergeben, am besten in einem Termin mit der Innenrevision und Beteiligung des Betriebsrates. Persönliche Vorwürfe gegen Herrn Kallweit habe ich nicht erhoben und werde sie auch nicht erheben."</w:t>
      </w:r>
    </w:p>
    <w:p>
      <w:pPr>
        <w:pStyle w:val="Heading2"/>
      </w:pPr>
      <w:r>
        <w:rPr>
          <w:rFonts w:ascii="Times New Roman" w:hAnsi="Times New Roman"/>
        </w:rPr>
        <w:t>G. Antwort an Lokalpresse Rundschau Niederbayern (kurz)</w:t>
      </w:r>
    </w:p>
    <w:p>
      <w:pPr>
        <w:jc w:val="left"/>
      </w:pPr>
      <w:r>
        <w:t>(falls Frau Herbst auf Pressefrage reagiert)</w:t>
      </w:r>
    </w:p>
    <w:p>
      <w:pPr>
        <w:ind w:left="567"/>
      </w:pPr>
      <w:r>
        <w:rPr>
          <w:i/>
        </w:rPr>
        <w:t>"Frau Herbst lässt mitteilen, dass sie die Kostenfrage zum Bauprojekt Kultursteg weiterhin offen hält und Belege im Wege der Informationsfreiheit erfragt. Persönliche Vorwürfe an Einzelpersonen — auch an den Bürgermeister — werden ausdrücklich nicht erhoben. Zu laufenden Verfahren äußert sich Frau Herbst nicht. Anfragen über die Kanzlei Muster &amp; Kollegen, Oberkrainbach."</w:t>
      </w:r>
    </w:p>
    <w:p>
      <w:pPr>
        <w:pStyle w:val="Heading2"/>
      </w:pPr>
      <w:r>
        <w:rPr>
          <w:rFonts w:ascii="Times New Roman" w:hAnsi="Times New Roman"/>
        </w:rPr>
        <w:t>H. Schulamts-Beschwerde — Skizze (nicht zur Versendung freigegeben)</w:t>
      </w:r>
    </w:p>
    <w:p>
      <w:pPr>
        <w:ind w:left="567"/>
      </w:pPr>
      <w:r>
        <w:rPr>
          <w:i/>
        </w:rPr>
        <w:t>"Sehr geehrtes Schulamt, ich richte mich an Sie wegen einer Mathearbeit der Klasse 7b vom 13.05.2026 an der Theodor-Fontane-Gesamtschule. In der Arbeit wurden Aufgabentypen abgefragt, die nach unserer Wahrnehmung im Unterricht nicht hinreichend vorbereitet waren. Eine Beschwerde an die Schulleitung führte zu einer Drohung mit einem 'Hausverbot' gegenüber Erziehungsberechtigten, die sich kritisch in einem Eltern-Chat äußerten. Ich bitte um Prüfung, ob dies mit dem Mitwirkungsrecht der Eltern (Art. 65 BayEUG) vereinbar ist."</w:t>
      </w:r>
    </w:p>
    <w:p>
      <w:pPr>
        <w:pStyle w:val="Heading2"/>
      </w:pPr>
      <w:r>
        <w:rPr>
          <w:rFonts w:ascii="Times New Roman" w:hAnsi="Times New Roman"/>
        </w:rPr>
        <w:t>I. Anwaltliche Risikoeinordnung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Variante</w:t>
            </w:r>
          </w:p>
        </w:tc>
        <w:tc>
          <w:tcPr>
            <w:tcW w:type="dxa" w:w="2268"/>
          </w:tcPr>
          <w:p>
            <w:r>
              <w:rPr>
                <w:rFonts w:ascii="Times New Roman" w:hAnsi="Times New Roman"/>
                <w:b/>
                <w:sz w:val="20"/>
              </w:rPr>
              <w:t>Risiko Eskalation</w:t>
            </w:r>
          </w:p>
        </w:tc>
        <w:tc>
          <w:tcPr>
            <w:tcW w:type="dxa" w:w="2268"/>
          </w:tcPr>
          <w:p>
            <w:r>
              <w:rPr>
                <w:rFonts w:ascii="Times New Roman" w:hAnsi="Times New Roman"/>
                <w:b/>
                <w:sz w:val="20"/>
              </w:rPr>
              <w:t>Risiko Reputationsschaden</w:t>
            </w:r>
          </w:p>
        </w:tc>
        <w:tc>
          <w:tcPr>
            <w:tcW w:type="dxa" w:w="2268"/>
          </w:tcPr>
          <w:p>
            <w:r>
              <w:rPr>
                <w:rFonts w:ascii="Times New Roman" w:hAnsi="Times New Roman"/>
                <w:b/>
                <w:sz w:val="20"/>
              </w:rPr>
              <w:t>Risiko Anerkenntnis</w:t>
            </w:r>
          </w:p>
        </w:tc>
      </w:tr>
      <w:tr>
        <w:tc>
          <w:tcPr>
            <w:tcW w:type="dxa" w:w="2268"/>
          </w:tcPr>
          <w:p>
            <w:r>
              <w:rPr>
                <w:rFonts w:ascii="Times New Roman" w:hAnsi="Times New Roman"/>
                <w:sz w:val="20"/>
              </w:rPr>
              <w:t>A "deeskalierend"</w:t>
            </w:r>
          </w:p>
        </w:tc>
        <w:tc>
          <w:tcPr>
            <w:tcW w:type="dxa" w:w="2268"/>
          </w:tcPr>
          <w:p>
            <w:r>
              <w:rPr>
                <w:rFonts w:ascii="Times New Roman" w:hAnsi="Times New Roman"/>
                <w:sz w:val="20"/>
              </w:rPr>
              <w:t>gering</w:t>
            </w:r>
          </w:p>
        </w:tc>
        <w:tc>
          <w:tcPr>
            <w:tcW w:type="dxa" w:w="2268"/>
          </w:tcPr>
          <w:p>
            <w:r>
              <w:rPr>
                <w:rFonts w:ascii="Times New Roman" w:hAnsi="Times New Roman"/>
                <w:sz w:val="20"/>
              </w:rPr>
              <w:t>mittel</w:t>
            </w:r>
          </w:p>
        </w:tc>
        <w:tc>
          <w:tcPr>
            <w:tcW w:type="dxa" w:w="2268"/>
          </w:tcPr>
          <w:p>
            <w:r>
              <w:rPr>
                <w:rFonts w:ascii="Times New Roman" w:hAnsi="Times New Roman"/>
                <w:sz w:val="20"/>
              </w:rPr>
              <w:t>gering</w:t>
            </w:r>
          </w:p>
        </w:tc>
      </w:tr>
      <w:tr>
        <w:tc>
          <w:tcPr>
            <w:tcW w:type="dxa" w:w="2268"/>
          </w:tcPr>
          <w:p>
            <w:r>
              <w:rPr>
                <w:rFonts w:ascii="Times New Roman" w:hAnsi="Times New Roman"/>
                <w:sz w:val="20"/>
              </w:rPr>
              <w:t>B "fest"</w:t>
            </w:r>
          </w:p>
        </w:tc>
        <w:tc>
          <w:tcPr>
            <w:tcW w:type="dxa" w:w="2268"/>
          </w:tcPr>
          <w:p>
            <w:r>
              <w:rPr>
                <w:rFonts w:ascii="Times New Roman" w:hAnsi="Times New Roman"/>
                <w:sz w:val="20"/>
              </w:rPr>
              <w:t>mittel</w:t>
            </w:r>
          </w:p>
        </w:tc>
        <w:tc>
          <w:tcPr>
            <w:tcW w:type="dxa" w:w="2268"/>
          </w:tcPr>
          <w:p>
            <w:r>
              <w:rPr>
                <w:rFonts w:ascii="Times New Roman" w:hAnsi="Times New Roman"/>
                <w:sz w:val="20"/>
              </w:rPr>
              <w:t>gering</w:t>
            </w:r>
          </w:p>
        </w:tc>
        <w:tc>
          <w:tcPr>
            <w:tcW w:type="dxa" w:w="2268"/>
          </w:tcPr>
          <w:p>
            <w:r>
              <w:rPr>
                <w:rFonts w:ascii="Times New Roman" w:hAnsi="Times New Roman"/>
                <w:sz w:val="20"/>
              </w:rPr>
              <w:t>sehr gering</w:t>
            </w:r>
          </w:p>
        </w:tc>
      </w:tr>
      <w:tr>
        <w:tc>
          <w:tcPr>
            <w:tcW w:type="dxa" w:w="2268"/>
          </w:tcPr>
          <w:p>
            <w:r>
              <w:rPr>
                <w:rFonts w:ascii="Times New Roman" w:hAnsi="Times New Roman"/>
                <w:sz w:val="20"/>
              </w:rPr>
              <w:t>C modifizierte Unterlassung</w:t>
            </w:r>
          </w:p>
        </w:tc>
        <w:tc>
          <w:tcPr>
            <w:tcW w:type="dxa" w:w="2268"/>
          </w:tcPr>
          <w:p>
            <w:r>
              <w:rPr>
                <w:rFonts w:ascii="Times New Roman" w:hAnsi="Times New Roman"/>
                <w:sz w:val="20"/>
              </w:rPr>
              <w:t>gering</w:t>
            </w:r>
          </w:p>
        </w:tc>
        <w:tc>
          <w:tcPr>
            <w:tcW w:type="dxa" w:w="2268"/>
          </w:tcPr>
          <w:p>
            <w:r>
              <w:rPr>
                <w:rFonts w:ascii="Times New Roman" w:hAnsi="Times New Roman"/>
                <w:sz w:val="20"/>
              </w:rPr>
              <w:t>gering</w:t>
            </w:r>
          </w:p>
        </w:tc>
        <w:tc>
          <w:tcPr>
            <w:tcW w:type="dxa" w:w="2268"/>
          </w:tcPr>
          <w:p>
            <w:r>
              <w:rPr>
                <w:rFonts w:ascii="Times New Roman" w:hAnsi="Times New Roman"/>
                <w:sz w:val="20"/>
              </w:rPr>
              <w:t>gering (Klarstellung "ohne Anerkennung einer Rechtspflicht")</w:t>
            </w:r>
          </w:p>
        </w:tc>
      </w:tr>
      <w:tr>
        <w:tc>
          <w:tcPr>
            <w:tcW w:type="dxa" w:w="2268"/>
          </w:tcPr>
          <w:p>
            <w:r>
              <w:rPr>
                <w:rFonts w:ascii="Times New Roman" w:hAnsi="Times New Roman"/>
                <w:sz w:val="20"/>
              </w:rPr>
              <w:t>D LinkedIn-Klarstellung</w:t>
            </w:r>
          </w:p>
        </w:tc>
        <w:tc>
          <w:tcPr>
            <w:tcW w:type="dxa" w:w="2268"/>
          </w:tcPr>
          <w:p>
            <w:r>
              <w:rPr>
                <w:rFonts w:ascii="Times New Roman" w:hAnsi="Times New Roman"/>
                <w:sz w:val="20"/>
              </w:rPr>
              <w:t>gering</w:t>
            </w:r>
          </w:p>
        </w:tc>
        <w:tc>
          <w:tcPr>
            <w:tcW w:type="dxa" w:w="2268"/>
          </w:tcPr>
          <w:p>
            <w:r>
              <w:rPr>
                <w:rFonts w:ascii="Times New Roman" w:hAnsi="Times New Roman"/>
                <w:sz w:val="20"/>
              </w:rPr>
              <w:t>sehr gering</w:t>
            </w:r>
          </w:p>
        </w:tc>
        <w:tc>
          <w:tcPr>
            <w:tcW w:type="dxa" w:w="2268"/>
          </w:tcPr>
          <w:p>
            <w:r>
              <w:rPr>
                <w:rFonts w:ascii="Times New Roman" w:hAnsi="Times New Roman"/>
                <w:sz w:val="20"/>
              </w:rPr>
              <w:t>mittel (Verzicht auf Pinocchio)</w:t>
            </w:r>
          </w:p>
        </w:tc>
      </w:tr>
      <w:tr>
        <w:tc>
          <w:tcPr>
            <w:tcW w:type="dxa" w:w="2268"/>
          </w:tcPr>
          <w:p>
            <w:r>
              <w:rPr>
                <w:rFonts w:ascii="Times New Roman" w:hAnsi="Times New Roman"/>
                <w:sz w:val="20"/>
              </w:rPr>
              <w:t>E Eltern-Chat</w:t>
            </w:r>
          </w:p>
        </w:tc>
        <w:tc>
          <w:tcPr>
            <w:tcW w:type="dxa" w:w="2268"/>
          </w:tcPr>
          <w:p>
            <w:r>
              <w:rPr>
                <w:rFonts w:ascii="Times New Roman" w:hAnsi="Times New Roman"/>
                <w:sz w:val="20"/>
              </w:rPr>
              <w:t>gering</w:t>
            </w:r>
          </w:p>
        </w:tc>
        <w:tc>
          <w:tcPr>
            <w:tcW w:type="dxa" w:w="2268"/>
          </w:tcPr>
          <w:p>
            <w:r>
              <w:rPr>
                <w:rFonts w:ascii="Times New Roman" w:hAnsi="Times New Roman"/>
                <w:sz w:val="20"/>
              </w:rPr>
              <w:t>sehr gering</w:t>
            </w:r>
          </w:p>
        </w:tc>
        <w:tc>
          <w:tcPr>
            <w:tcW w:type="dxa" w:w="2268"/>
          </w:tcPr>
          <w:p>
            <w:r>
              <w:rPr>
                <w:rFonts w:ascii="Times New Roman" w:hAnsi="Times New Roman"/>
                <w:sz w:val="20"/>
              </w:rPr>
              <w:t>mittel</w:t>
            </w:r>
          </w:p>
        </w:tc>
      </w:tr>
      <w:tr>
        <w:tc>
          <w:tcPr>
            <w:tcW w:type="dxa" w:w="2268"/>
          </w:tcPr>
          <w:p>
            <w:r>
              <w:rPr>
                <w:rFonts w:ascii="Times New Roman" w:hAnsi="Times New Roman"/>
                <w:sz w:val="20"/>
              </w:rPr>
              <w:t>F HR-Statement</w:t>
            </w:r>
          </w:p>
        </w:tc>
        <w:tc>
          <w:tcPr>
            <w:tcW w:type="dxa" w:w="2268"/>
          </w:tcPr>
          <w:p>
            <w:r>
              <w:rPr>
                <w:rFonts w:ascii="Times New Roman" w:hAnsi="Times New Roman"/>
                <w:sz w:val="20"/>
              </w:rPr>
              <w:t>gering</w:t>
            </w:r>
          </w:p>
        </w:tc>
        <w:tc>
          <w:tcPr>
            <w:tcW w:type="dxa" w:w="2268"/>
          </w:tcPr>
          <w:p>
            <w:r>
              <w:rPr>
                <w:rFonts w:ascii="Times New Roman" w:hAnsi="Times New Roman"/>
                <w:sz w:val="20"/>
              </w:rPr>
              <w:t>sehr gering</w:t>
            </w:r>
          </w:p>
        </w:tc>
        <w:tc>
          <w:tcPr>
            <w:tcW w:type="dxa" w:w="2268"/>
          </w:tcPr>
          <w:p>
            <w:r>
              <w:rPr>
                <w:rFonts w:ascii="Times New Roman" w:hAnsi="Times New Roman"/>
                <w:sz w:val="20"/>
              </w:rPr>
              <w:t>gering</w:t>
            </w:r>
          </w:p>
        </w:tc>
      </w:tr>
      <w:tr>
        <w:tc>
          <w:tcPr>
            <w:tcW w:type="dxa" w:w="2268"/>
          </w:tcPr>
          <w:p>
            <w:r>
              <w:rPr>
                <w:rFonts w:ascii="Times New Roman" w:hAnsi="Times New Roman"/>
                <w:sz w:val="20"/>
              </w:rPr>
              <w:t>G Pressetext</w:t>
            </w:r>
          </w:p>
        </w:tc>
        <w:tc>
          <w:tcPr>
            <w:tcW w:type="dxa" w:w="2268"/>
          </w:tcPr>
          <w:p>
            <w:r>
              <w:rPr>
                <w:rFonts w:ascii="Times New Roman" w:hAnsi="Times New Roman"/>
                <w:sz w:val="20"/>
              </w:rPr>
              <w:t>gering</w:t>
            </w:r>
          </w:p>
        </w:tc>
        <w:tc>
          <w:tcPr>
            <w:tcW w:type="dxa" w:w="2268"/>
          </w:tcPr>
          <w:p>
            <w:r>
              <w:rPr>
                <w:rFonts w:ascii="Times New Roman" w:hAnsi="Times New Roman"/>
                <w:sz w:val="20"/>
              </w:rPr>
              <w:t>gering</w:t>
            </w:r>
          </w:p>
        </w:tc>
        <w:tc>
          <w:tcPr>
            <w:tcW w:type="dxa" w:w="2268"/>
          </w:tcPr>
          <w:p>
            <w:r>
              <w:rPr>
                <w:rFonts w:ascii="Times New Roman" w:hAnsi="Times New Roman"/>
                <w:sz w:val="20"/>
              </w:rPr>
              <w:t>sehr gering</w:t>
            </w:r>
          </w:p>
        </w:tc>
      </w:tr>
      <w:tr>
        <w:tc>
          <w:tcPr>
            <w:tcW w:type="dxa" w:w="2268"/>
          </w:tcPr>
          <w:p>
            <w:r>
              <w:rPr>
                <w:rFonts w:ascii="Times New Roman" w:hAnsi="Times New Roman"/>
                <w:sz w:val="20"/>
              </w:rPr>
              <w:t>H Schulamtsbeschwerde</w:t>
            </w:r>
          </w:p>
        </w:tc>
        <w:tc>
          <w:tcPr>
            <w:tcW w:type="dxa" w:w="2268"/>
          </w:tcPr>
          <w:p>
            <w:r>
              <w:rPr>
                <w:rFonts w:ascii="Times New Roman" w:hAnsi="Times New Roman"/>
                <w:sz w:val="20"/>
              </w:rPr>
              <w:t>mittel (Hofbauer-Reaktion)</w:t>
            </w:r>
          </w:p>
        </w:tc>
        <w:tc>
          <w:tcPr>
            <w:tcW w:type="dxa" w:w="2268"/>
          </w:tcPr>
          <w:p>
            <w:r>
              <w:rPr>
                <w:rFonts w:ascii="Times New Roman" w:hAnsi="Times New Roman"/>
                <w:sz w:val="20"/>
              </w:rPr>
              <w:t>gering</w:t>
            </w:r>
          </w:p>
        </w:tc>
        <w:tc>
          <w:tcPr>
            <w:tcW w:type="dxa" w:w="2268"/>
          </w:tcPr>
          <w:p>
            <w:r>
              <w:rPr>
                <w:rFonts w:ascii="Times New Roman" w:hAnsi="Times New Roman"/>
                <w:sz w:val="20"/>
              </w:rPr>
              <w:t>keine</w:t>
            </w:r>
          </w:p>
        </w:tc>
      </w:tr>
    </w:tbl>
    <w:p>
      <w:pPr>
        <w:pStyle w:val="Heading2"/>
      </w:pPr>
      <w:r>
        <w:rPr>
          <w:rFonts w:ascii="Times New Roman" w:hAnsi="Times New Roman"/>
        </w:rPr>
        <w:t>J. Vorschlag für Reihenfolge der Schritte</w:t>
      </w:r>
    </w:p>
    <w:p>
      <w:pPr>
        <w:pStyle w:val="ListNumber"/>
      </w:pPr>
      <w:r>
        <w:t>Heute (20.05.2026): Eltern-Chat-Klarstellung (Variante E) absetzen.</w:t>
      </w:r>
    </w:p>
    <w:p>
      <w:pPr>
        <w:pStyle w:val="ListNumber"/>
      </w:pPr>
      <w:r>
        <w:t>Heute: Folgekommentar X (Variante A "deeskalierend") veröffentlichen; Ursprungsbeitrag nicht löschen.</w:t>
      </w:r>
    </w:p>
    <w:p>
      <w:pPr>
        <w:pStyle w:val="ListNumber"/>
      </w:pPr>
      <w:r>
        <w:t>Heute: LinkedIn-Klarstellung (Variante D) als Folgekommentar.</w:t>
      </w:r>
    </w:p>
    <w:p>
      <w:pPr>
        <w:pStyle w:val="ListNumber"/>
      </w:pPr>
      <w:r>
        <w:t>Morgen (21.05.2026): HR-Statement (Variante F) im Termin schriftlich übergeben.</w:t>
      </w:r>
    </w:p>
    <w:p>
      <w:pPr>
        <w:pStyle w:val="ListNumber"/>
      </w:pPr>
      <w:r>
        <w:t>Morgen: Antwort an Dr. Barcken &amp; Voss mit modifizierter Unterlassungserklärung (Variante C) und Bitte um Fristverlängerung bis 27.05.2026.</w:t>
      </w:r>
    </w:p>
    <w:p>
      <w:pPr>
        <w:pStyle w:val="ListNumber"/>
      </w:pPr>
      <w:r>
        <w:t>Morgen: Antwort an Dr. Limmert (NovaWerk) mit modifizierter Erklärung "Pinocchio" und Hinweis, dass Widerruf nicht abgegeben wird.</w:t>
      </w:r>
    </w:p>
    <w:p>
      <w:pPr>
        <w:pStyle w:val="ListNumber"/>
      </w:pPr>
      <w:r>
        <w:t>22.05.2026: Antrag auf Informationsfreiheit an Stadt Oberkrainbach.</w:t>
      </w:r>
    </w:p>
    <w:p>
      <w:pPr>
        <w:pStyle w:val="ListNumber"/>
      </w:pPr>
      <w:r>
        <w:t>27.05.2026: Stellungnahme Polizei nach erfolgter Akteneinsicht (oder Schweigen, je nach Akteninhalt).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