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Sachverhaltsdarstellung Asset-Deal — Grobskizze</w:t>
      </w:r>
    </w:p>
    <w:p>
      <w:pPr>
        <w:jc w:val="left"/>
      </w:pPr>
      <w:r>
        <w:t>Aktenzeichen: FST-2026-0918</w:t>
      </w:r>
    </w:p>
    <w:p>
      <w:pPr>
        <w:jc w:val="left"/>
      </w:pPr>
      <w:r>
        <w:t>Datum: 15. April 2026</w:t>
      </w:r>
    </w:p>
    <w:p>
      <w:pPr>
        <w:jc w:val="left"/>
      </w:pPr>
      <w:r>
        <w:t>Verfasser: RA Dr. Mark Roosendaal / RA Dr. Theresa Federkamp-Wittfeldt</w:t>
      </w:r>
    </w:p>
    <w:p>
      <w:pPr>
        <w:pStyle w:val="Heading2"/>
      </w:pPr>
      <w:r>
        <w:rPr>
          <w:rFonts w:ascii="Times New Roman" w:hAnsi="Times New Roman"/>
        </w:rPr>
        <w:t>I. Parteien</w:t>
      </w:r>
    </w:p>
    <w:p>
      <w:pPr>
        <w:jc w:val="left"/>
      </w:pPr>
      <w:r>
        <w:rPr>
          <w:b/>
        </w:rPr>
        <w:t>Verkäufer:</w:t>
      </w:r>
      <w:r>
        <w:t xml:space="preserve"> Caledonian Industrial Holdings plc, 14 Charlotte Square, Edinburgh EH2 4AT, Schottland / UK. Börsennotiert (LSE: CLHI). Umsatz FY 2025: ca. 4,2 Mrd. GBP. Die Pipeline Northsea Ltd. ist eine 100%ige Tochtergesellschaft.</w:t>
      </w:r>
    </w:p>
    <w:p>
      <w:pPr>
        <w:jc w:val="left"/>
      </w:pPr>
      <w:r>
        <w:rPr>
          <w:b/>
        </w:rPr>
        <w:t>Käufer:</w:t>
      </w:r>
      <w:r>
        <w:t xml:space="preserve"> Volkenrath Energie SE, Kröpcke 7, 30159 Hannover. DAX-Mittelständler, börsennotiert (XETRA: VEN). Umsatz FY 2025: ca. 6,8 Mrd. Euro. Kerngeschäfte: Spezialgase, Wasserstoff, Ammoniak-Derivate.</w:t>
      </w:r>
    </w:p>
    <w:p>
      <w:pPr>
        <w:jc w:val="left"/>
      </w:pPr>
      <w:r>
        <w:rPr>
          <w:b/>
        </w:rPr>
        <w:t>Zielunternehmen (Carve-out):</w:t>
      </w:r>
      <w:r>
        <w:t xml:space="preserve"> Pipeline Northsea Ltd., Registered in England and Wales, Company No. 04782193. Operativer Sitz: Helgoland-Vorgelagert-Terminal, Niedersächsische AWZ. Mitarbeiter: 342 VZÄ.</w:t>
      </w:r>
    </w:p>
    <w:p>
      <w:pPr>
        <w:pStyle w:val="Heading2"/>
      </w:pPr>
      <w:r>
        <w:rPr>
          <w:rFonts w:ascii="Times New Roman" w:hAnsi="Times New Roman"/>
        </w:rPr>
        <w:t>II. Transaktionsstruktur</w:t>
      </w:r>
    </w:p>
    <w:p>
      <w:pPr>
        <w:jc w:val="left"/>
      </w:pPr>
      <w:r>
        <w:t>Der Asset-Deal wird als Carve-out aus Caledonian strukturiert. Pipeline Northsea Ltd. überträgt sämtliche dem Betrieb zuzuordnenden Wirtschaftsgüter an eine von Volkenrath zu gründende deutsche Akquisitionsvehikel-GmbH (Arbeitstitel: „Northsea Ammoniak GmbH i.G."). Alternativstruktur: Direkte Übertragung an Volkenrath Energie SE als Gesamtrechtsnachfolgerin. Die Wahl der Struktur ist steuerrechtlich noch nicht abgeschlossen (vgl. Memo X — Steuerrecht).</w:t>
      </w:r>
    </w:p>
    <w:p>
      <w:pPr>
        <w:pStyle w:val="Heading2"/>
      </w:pPr>
      <w:r>
        <w:rPr>
          <w:rFonts w:ascii="Times New Roman" w:hAnsi="Times New Roman"/>
        </w:rPr>
        <w:t>III. Wirtschaftlicher Hintergrund</w:t>
      </w:r>
    </w:p>
    <w:p>
      <w:pPr>
        <w:jc w:val="left"/>
      </w:pPr>
      <w:r>
        <w:t>Die Ammoniak-Pipeline Northsea-West ist die einzige wirtschaftlich nutzbare Transportinfrastruktur für Ammoniak zwischen Nordsee-Offshoreproduktion und deutschen Industriekunden (Schwerpunkt: Chemiepark Brunsbüttel, Hafen Hamburg). Ein Neubau wäre regulatorisch und finanzwirtschaftlich auf Sicht von zehn Jahren nicht realisierbar. Volkenrath sichert damit eine strategische Versorgungsachse für seine Ammoniak-Lieferverpflichtungen gegenüber deutschen Industriekunden (Lieferverträge 2027–2034).</w:t>
      </w:r>
    </w:p>
    <w:p>
      <w:pPr>
        <w:pStyle w:val="Heading2"/>
      </w:pPr>
      <w:r>
        <w:rPr>
          <w:rFonts w:ascii="Times New Roman" w:hAnsi="Times New Roman"/>
        </w:rPr>
        <w:t>IV. Kaufpreisstruktur</w:t>
      </w:r>
    </w:p>
    <w:p>
      <w:pPr>
        <w:pStyle w:val="ListBullet"/>
      </w:pPr>
      <w:r>
        <w:t>Basiskaufpreis: EUR 8.750.000.000 (Enterprise Value, schulden- und kassenbereinigt)</w:t>
      </w:r>
    </w:p>
    <w:p>
      <w:pPr>
        <w:pStyle w:val="ListBullet"/>
      </w:pPr>
      <w:r>
        <w:t>Locked-Box-Mechanismus (Referenzdatum: 31. Dezember 2025)</w:t>
      </w:r>
    </w:p>
    <w:p>
      <w:pPr>
        <w:pStyle w:val="ListBullet"/>
      </w:pPr>
      <w:r>
        <w:t>Earn-Out: bis EUR 280.000.000 in Abhängigkeit von Pipeline-Durchsatzmengen FY 2026/2027</w:t>
      </w:r>
    </w:p>
    <w:p>
      <w:pPr>
        <w:pStyle w:val="ListBullet"/>
      </w:pPr>
      <w:r>
        <w:t>Garantien: Standardgarantierahmen nach APCOA-Muster; Haftungsobergrenze 10% des Basiskaufpreises</w:t>
      </w:r>
    </w:p>
    <w:p>
      <w:pPr>
        <w:pStyle w:val="ListBullet"/>
      </w:pPr>
      <w:r>
        <w:t>W&amp;I-Versicherung: Indikativofferte durch Willis Towers Watson (Selbstbehalt EUR 15.000.000)</w:t>
      </w:r>
    </w:p>
    <w:p>
      <w:pPr>
        <w:pStyle w:val="Heading2"/>
      </w:pPr>
      <w:r>
        <w:rPr>
          <w:rFonts w:ascii="Times New Roman" w:hAnsi="Times New Roman"/>
        </w:rPr>
        <w:t>V. Bekannte Risiken und Besonderheiten</w:t>
      </w:r>
    </w:p>
    <w:p>
      <w:pPr>
        <w:pStyle w:val="ListNumber"/>
      </w:pPr>
      <w:r>
        <w:t>Altlasten auf Werksgelände Helgoland-Vorgelagert: Bodenkontamination (Ammoniak-Leckageverdacht aus den 1980er-Jahren). VDD-Report erwähnt Sanierungskosten von schätzungsweise EUR 45.000.000–120.000.000 (Bandbreite offen).</w:t>
      </w:r>
    </w:p>
    <w:p>
      <w:pPr>
        <w:pStyle w:val="ListNumber"/>
      </w:pPr>
      <w:r>
        <w:t>Betriebsrat Helgoland: Ca. 210 der 342 Mitarbeiter sind in einer Betriebsratsstruktur erfasst; der Betriebsrat hat mit Schreiben vom 8. April 2026 eine Standortgarantie für fünf Jahre gefordert.</w:t>
      </w:r>
    </w:p>
    <w:p>
      <w:pPr>
        <w:pStyle w:val="ListNumber"/>
      </w:pPr>
      <w:r>
        <w:t>Konkurrenz-Bieter: Marktgerüchten zufolge prüft die BioNova Chemie AG (Frankfurt) ein Gegenangebot. Ein LOI von BioNova liegt Caledonian nach Informationsstand vom 12. April 2026 noch nicht vor.</w:t>
      </w:r>
    </w:p>
    <w:p>
      <w:pPr>
        <w:pStyle w:val="ListNumber"/>
      </w:pPr>
      <w:r>
        <w:t>Energierecht: Die Pipeline ist als kritische Infrastruktur nach dem KRITIS-Dachgesetz eingestuft; Übertragung erfordert BNetzA-Zustimmung nach §§ 11, 12 EnWG.</w:t>
      </w:r>
    </w:p>
    <w:p>
      <w:pPr>
        <w:pStyle w:val="ListNumber"/>
      </w:pPr>
      <w:r>
        <w:t>Post-Brexit: Die kartellrechtliche Anmeldung muss sowohl beim BKartA als auch bei der britischen CMA erfolgen. Parallelverfahren mit divergierenden Fristen.</w:t>
      </w:r>
    </w:p>
    <w:p>
      <w:pPr>
        <w:pStyle w:val="Heading2"/>
      </w:pPr>
      <w:r>
        <w:rPr>
          <w:rFonts w:ascii="Times New Roman" w:hAnsi="Times New Roman"/>
        </w:rPr>
        <w:t>VI. Verfahrensstand</w:t>
      </w:r>
    </w:p>
    <w:p>
      <w:pPr>
        <w:jc w:val="left"/>
      </w:pPr>
      <w:r>
        <w:t>Die Exklusivitätsvereinbarung wurde am 14. April 2026 unterzeichnet. Caledonian hat einen Datenraum auf der Plattform Intralinks eröffnet (Zugang für FST und den Volkenrath-Finanzberater Rothschild &amp; Co. seit 16. April 2026). Die Legal Due Diligence läuft seit 22. April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