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Memo I — Gesellschaftsrechtliche Zulässigkeit des Asset-Deals</w:t>
      </w:r>
    </w:p>
    <w:p>
      <w:pPr>
        <w:jc w:val="left"/>
      </w:pPr>
      <w:r>
        <w:t>Aktenzeichen: FST-2026-0918 / Memo I</w:t>
      </w:r>
    </w:p>
    <w:p>
      <w:pPr>
        <w:jc w:val="left"/>
      </w:pPr>
      <w:r>
        <w:t>Datum: 25. April 2026</w:t>
      </w:r>
    </w:p>
    <w:p>
      <w:pPr>
        <w:jc w:val="left"/>
      </w:pPr>
      <w:r>
        <w:t>Verfasserin: RA Dr. Theresa Federkamp-Wittfeldt</w:t>
      </w:r>
    </w:p>
    <w:p>
      <w:pPr>
        <w:pStyle w:val="Heading2"/>
      </w:pPr>
      <w:r>
        <w:rPr>
          <w:rFonts w:ascii="Times New Roman" w:hAnsi="Times New Roman"/>
        </w:rPr>
        <w:t>A. Sachverhalt (Kurzfassung)</w:t>
      </w:r>
    </w:p>
    <w:p>
      <w:pPr>
        <w:jc w:val="left"/>
      </w:pPr>
      <w:r>
        <w:t>Die Volkenrath Energie SE beabsichtigt den Erwerb der Betriebsvermögensgegenstände der Pipeline Northsea Ltd. Transaktionsvolumen: knapp neun Milliarden Euro. Der Erwerb übersteigt damit bei weitem die in der Geschäftsordnung des Vorstands festgelegte Wertgrenze für zustimmungspflichtige Geschäfte (EUR 500.000.000).</w:t>
      </w:r>
    </w:p>
    <w:p>
      <w:pPr>
        <w:pStyle w:val="Heading2"/>
      </w:pPr>
      <w:r>
        <w:rPr>
          <w:rFonts w:ascii="Times New Roman" w:hAnsi="Times New Roman"/>
        </w:rPr>
        <w:t>B. Rechtsfragen</w:t>
      </w:r>
    </w:p>
    <w:p>
      <w:pPr>
        <w:pStyle w:val="ListNumber"/>
      </w:pPr>
      <w:r>
        <w:t>Bedarf der Vorstand der Zustimmung des Aufsichtsrats nach § 111 Abs. 4 AktG i.V.m. der Geschäftsordnung?</w:t>
      </w:r>
    </w:p>
    <w:p>
      <w:pPr>
        <w:pStyle w:val="ListNumber"/>
      </w:pPr>
      <w:r>
        <w:t>Welche Mehrheitserfordernisse gelten im Aufsichtsrat?</w:t>
      </w:r>
    </w:p>
    <w:p>
      <w:pPr>
        <w:pStyle w:val="ListNumber"/>
      </w:pPr>
      <w:r>
        <w:t>Besteht eine Pflicht zur Einberufung einer außerordentlichen Hauptversammlung nach § 119 Abs. 2 AktG?</w:t>
      </w:r>
    </w:p>
    <w:p>
      <w:pPr>
        <w:pStyle w:val="Heading2"/>
      </w:pPr>
      <w:r>
        <w:rPr>
          <w:rFonts w:ascii="Times New Roman" w:hAnsi="Times New Roman"/>
        </w:rPr>
        <w:t>C. Rechtliche Würdigung</w:t>
      </w:r>
    </w:p>
    <w:p>
      <w:pPr>
        <w:pStyle w:val="Heading3"/>
      </w:pPr>
      <w:r>
        <w:rPr>
          <w:rFonts w:ascii="Times New Roman" w:hAnsi="Times New Roman"/>
        </w:rPr>
        <w:t>I. Zustimmungspflicht des Aufsichtsrats</w:t>
      </w:r>
    </w:p>
    <w:p>
      <w:pPr>
        <w:jc w:val="left"/>
      </w:pPr>
      <w:r>
        <w:t>Nach § 111 Abs. 4 Satz 2 AktG ist die Satzung oder der Aufsichtsrat berechtigt, bestimmte Arten von Geschäften von seiner Zustimmung abhängig zu machen. Die Geschäftsordnung des Vorstands der Volkenrath Energie SE (§ 5 Abs. 2 lit. f) sieht für Akquisitionen ab einem Transaktionswert von EUR 500.000.000 die Zustimmung des Aufsichtsrats vor.</w:t>
      </w:r>
    </w:p>
    <w:p>
      <w:pPr>
        <w:jc w:val="left"/>
      </w:pPr>
      <w:r>
        <w:rPr>
          <w:b/>
        </w:rPr>
        <w:t>Ergebnis:</w:t>
      </w:r>
      <w:r>
        <w:t xml:space="preserve"> Der geplante Asset-Deal mit einem Transaktionsvolumen von knapp neun Milliarden Euro unterliegt zwingend der Zustimmungspflicht des Aufsichtsrats. Eine eigenmächtige Durchführung ohne Zustimmung wäre ein Pflichtverstoß des Vorstands und könnte zu Schadensersatzpflichten nach § 93 AktG führen.</w:t>
      </w:r>
    </w:p>
    <w:p>
      <w:pPr>
        <w:pStyle w:val="Heading3"/>
      </w:pPr>
      <w:r>
        <w:rPr>
          <w:rFonts w:ascii="Times New Roman" w:hAnsi="Times New Roman"/>
        </w:rPr>
        <w:t>II. Mehrheitserfordernisse</w:t>
      </w:r>
    </w:p>
    <w:p>
      <w:pPr>
        <w:jc w:val="left"/>
      </w:pPr>
      <w:r>
        <w:t>Der Aufsichtsrat der Volkenrath Energie SE besteht aus zwölf Mitgliedern (je sechs Anteilseigner- und Arbeitnehmervertreter nach MitbestG 1976). Die Zustimmung erfordert die einfache Mehrheit der abgegebenen Stimmen (§ 108 Abs. 1 AktG). Bei Stimmengleichheit gibt die Stimme des Aufsichtsratsvorsitzenden den Ausschlag (§ 29 Abs. 2 MitbestG). Eine qualifizierte Mehrheit ist nach Satzung nicht erforderlich.</w:t>
      </w:r>
    </w:p>
    <w:p>
      <w:pPr>
        <w:pStyle w:val="Heading3"/>
      </w:pPr>
      <w:r>
        <w:rPr>
          <w:rFonts w:ascii="Times New Roman" w:hAnsi="Times New Roman"/>
        </w:rPr>
        <w:t>III. Hauptversammlungsbeschluss</w:t>
      </w:r>
    </w:p>
    <w:p>
      <w:pPr>
        <w:jc w:val="left"/>
      </w:pPr>
      <w:r>
        <w:t>Eine Vorlage an die Hauptversammlung nach § 119 Abs. 2 AktG scheidet mangels entsprechender Vorstandsinitiative aus. Allerdings könnte bei einem Transaktionsvolumen von knapp neun Milliarden Euro — ca. 132% des letzten bilanziellen Eigenkapitals der Volkenrath Energie SE — eine ungeschriebene Hauptversammlungszuständigkeit nach den Grundsätzen der Holzmüller/Gelatine-Doktrin in Betracht kommen.</w:t>
      </w:r>
    </w:p>
    <w:p>
      <w:pPr>
        <w:jc w:val="left"/>
      </w:pPr>
      <w:r>
        <w:rPr>
          <w:b/>
        </w:rPr>
        <w:t>Ergebnis:</w:t>
      </w:r>
      <w:r>
        <w:t xml:space="preserve"> Nach der Gelatine-Entscheidung des BGH (BGHZ 159, 30) ist ein Hauptversammlungsbeschluss erforderlich, wenn das Vorstandshandeln einen grundlegenden Einfluss auf die Vermögens-, Finanz- und Ertragslage hat und in die Mitgliedsrechte der Aktionäre eingreift. Bei einem Erwerb von 132% des Eigenkapitals ist diese Schwelle erreicht. FST empfiehlt, vorsorglich eine außerordentliche Hauptversammlung einzuberufen.</w:t>
      </w:r>
    </w:p>
    <w:p>
      <w:pPr>
        <w:pStyle w:val="Heading2"/>
      </w:pPr>
      <w:r>
        <w:rPr>
          <w:rFonts w:ascii="Times New Roman" w:hAnsi="Times New Roman"/>
        </w:rPr>
        <w:t>D. Handlungsempfehlung</w:t>
      </w:r>
    </w:p>
    <w:p>
      <w:pPr>
        <w:pStyle w:val="ListNumber"/>
      </w:pPr>
      <w:r>
        <w:t>Unverzüglich Einberufung einer Aufsichtsratssitzung mit dem Tagesordnungspunkt „Zustimmung Asset-Deal Pipeline Northsea" (Einladungsfrist: 14 Tage nach § 110 AktG, sofern Satzung nichts anderes bestimmt).</w:t>
      </w:r>
    </w:p>
    <w:p>
      <w:pPr>
        <w:pStyle w:val="ListNumber"/>
      </w:pPr>
      <w:r>
        <w:t>Prüfung, ob eine außerordentliche Hauptversammlung nach § 121 AktG einzuberufen ist (HV-Frist: mindestens 30 Tage).</w:t>
      </w:r>
    </w:p>
    <w:p>
      <w:pPr>
        <w:pStyle w:val="ListNumber"/>
      </w:pPr>
      <w:r>
        <w:t>Vorbereitung einer umfassenden Vorstandsvorlage für den Aufsichtsrat (vgl. Aktenstück 18).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